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292DA" w14:textId="77777777" w:rsidR="00E65478" w:rsidRDefault="00E65478" w:rsidP="00E65478">
      <w:pPr>
        <w:spacing w:after="0" w:line="360" w:lineRule="auto"/>
        <w:jc w:val="both"/>
        <w:outlineLvl w:val="0"/>
        <w:rPr>
          <w:rFonts w:ascii="Arial" w:eastAsia="Times New Roman" w:hAnsi="Arial" w:cs="Arial"/>
          <w:b/>
          <w:bCs/>
          <w:kern w:val="36"/>
          <w:sz w:val="22"/>
          <w:szCs w:val="22"/>
          <w14:ligatures w14:val="none"/>
        </w:rPr>
      </w:pPr>
      <w:r w:rsidRPr="00E65478">
        <w:rPr>
          <w:rFonts w:ascii="Arial" w:eastAsia="Times New Roman" w:hAnsi="Arial" w:cs="Arial"/>
          <w:b/>
          <w:bCs/>
          <w:kern w:val="36"/>
          <w:sz w:val="22"/>
          <w:szCs w:val="22"/>
          <w14:ligatures w14:val="none"/>
        </w:rPr>
        <w:t>Mehler Vario System GmbH Prevails in Design Rights Dispute with NFM AS on Appeal</w:t>
      </w:r>
    </w:p>
    <w:p w14:paraId="6094F1C3" w14:textId="77777777" w:rsidR="00E65478" w:rsidRPr="00E65478" w:rsidRDefault="00E65478" w:rsidP="00E65478">
      <w:pPr>
        <w:spacing w:after="0" w:line="360" w:lineRule="auto"/>
        <w:jc w:val="both"/>
        <w:outlineLvl w:val="0"/>
        <w:rPr>
          <w:rFonts w:ascii="Arial" w:eastAsia="Times New Roman" w:hAnsi="Arial" w:cs="Arial"/>
          <w:b/>
          <w:bCs/>
          <w:kern w:val="36"/>
          <w:sz w:val="22"/>
          <w:szCs w:val="22"/>
          <w14:ligatures w14:val="none"/>
        </w:rPr>
      </w:pPr>
    </w:p>
    <w:p w14:paraId="337896D4" w14:textId="77777777" w:rsidR="00E65478" w:rsidRDefault="00E65478" w:rsidP="00E65478">
      <w:pPr>
        <w:spacing w:after="0" w:line="360" w:lineRule="auto"/>
        <w:jc w:val="both"/>
        <w:rPr>
          <w:rFonts w:ascii="Arial" w:eastAsia="Times New Roman" w:hAnsi="Arial" w:cs="Arial"/>
          <w:kern w:val="0"/>
          <w:sz w:val="22"/>
          <w:szCs w:val="22"/>
          <w14:ligatures w14:val="none"/>
        </w:rPr>
      </w:pPr>
      <w:r w:rsidRPr="00E65478">
        <w:rPr>
          <w:rFonts w:ascii="Arial" w:eastAsia="Times New Roman" w:hAnsi="Arial" w:cs="Arial"/>
          <w:kern w:val="0"/>
          <w:sz w:val="22"/>
          <w:szCs w:val="22"/>
          <w14:ligatures w14:val="none"/>
        </w:rPr>
        <w:t>Higher Regional Court of Düsseldorf Confirms: Mehler Protection’s Grid Carrier Does Not Infringe NFM AS’s Design Rights</w:t>
      </w:r>
    </w:p>
    <w:p w14:paraId="523BC4E8" w14:textId="77777777" w:rsidR="00E65478" w:rsidRPr="00E65478" w:rsidRDefault="00E65478" w:rsidP="00E65478">
      <w:pPr>
        <w:spacing w:after="0" w:line="360" w:lineRule="auto"/>
        <w:jc w:val="both"/>
        <w:rPr>
          <w:rFonts w:ascii="Arial" w:eastAsia="Times New Roman" w:hAnsi="Arial" w:cs="Arial"/>
          <w:kern w:val="0"/>
          <w:sz w:val="22"/>
          <w:szCs w:val="22"/>
          <w14:ligatures w14:val="none"/>
        </w:rPr>
      </w:pPr>
    </w:p>
    <w:p w14:paraId="343F107E" w14:textId="77777777" w:rsidR="00E65478" w:rsidRDefault="00E65478" w:rsidP="00E65478">
      <w:pPr>
        <w:spacing w:after="0" w:line="360" w:lineRule="auto"/>
        <w:jc w:val="both"/>
        <w:rPr>
          <w:rFonts w:ascii="Arial" w:eastAsia="Times New Roman" w:hAnsi="Arial" w:cs="Arial"/>
          <w:b/>
          <w:bCs/>
          <w:kern w:val="0"/>
          <w:sz w:val="22"/>
          <w:szCs w:val="22"/>
          <w14:ligatures w14:val="none"/>
        </w:rPr>
      </w:pPr>
      <w:r w:rsidRPr="00E65478">
        <w:rPr>
          <w:rFonts w:ascii="Arial" w:eastAsia="Times New Roman" w:hAnsi="Arial" w:cs="Arial"/>
          <w:b/>
          <w:bCs/>
          <w:kern w:val="0"/>
          <w:sz w:val="22"/>
          <w:szCs w:val="22"/>
          <w14:ligatures w14:val="none"/>
        </w:rPr>
        <w:t>FULDA, GERMANY (20 October 2026)</w:t>
      </w:r>
    </w:p>
    <w:p w14:paraId="7C6C7EA9" w14:textId="77777777" w:rsidR="00E65478" w:rsidRPr="00E65478" w:rsidRDefault="00E65478" w:rsidP="00E65478">
      <w:pPr>
        <w:spacing w:after="0" w:line="360" w:lineRule="auto"/>
        <w:jc w:val="both"/>
        <w:rPr>
          <w:rFonts w:ascii="Arial" w:eastAsia="Times New Roman" w:hAnsi="Arial" w:cs="Arial"/>
          <w:kern w:val="0"/>
          <w:sz w:val="22"/>
          <w:szCs w:val="22"/>
          <w14:ligatures w14:val="none"/>
        </w:rPr>
      </w:pPr>
    </w:p>
    <w:p w14:paraId="72688491" w14:textId="77777777" w:rsidR="00E65478" w:rsidRDefault="00E65478" w:rsidP="00E65478">
      <w:pPr>
        <w:spacing w:after="0" w:line="360" w:lineRule="auto"/>
        <w:jc w:val="both"/>
        <w:rPr>
          <w:rFonts w:ascii="Arial" w:eastAsia="Times New Roman" w:hAnsi="Arial" w:cs="Arial"/>
          <w:kern w:val="0"/>
          <w:sz w:val="22"/>
          <w:szCs w:val="22"/>
          <w14:ligatures w14:val="none"/>
        </w:rPr>
      </w:pPr>
      <w:r w:rsidRPr="00E65478">
        <w:rPr>
          <w:rFonts w:ascii="Arial" w:eastAsia="Times New Roman" w:hAnsi="Arial" w:cs="Arial"/>
          <w:kern w:val="0"/>
          <w:sz w:val="22"/>
          <w:szCs w:val="22"/>
          <w14:ligatures w14:val="none"/>
        </w:rPr>
        <w:t>Mehler Vario System GmbH, the legal entity operating under the Mehler Protection brand within Mehler Systems, has been successful in the appeal: The Higher Regional Court of Düsseldorf upheld the dismissal of the claims against the allegations made by NFM AS and confirmed that the Mehler Protection’s Grid Carrier does not infringe the asserted design rights. The Court did not allow a further appeal.</w:t>
      </w:r>
    </w:p>
    <w:p w14:paraId="71D693F0" w14:textId="77777777" w:rsidR="00E65478" w:rsidRPr="00E65478" w:rsidRDefault="00E65478" w:rsidP="00E65478">
      <w:pPr>
        <w:spacing w:after="0" w:line="360" w:lineRule="auto"/>
        <w:jc w:val="both"/>
        <w:rPr>
          <w:rFonts w:ascii="Arial" w:eastAsia="Times New Roman" w:hAnsi="Arial" w:cs="Arial"/>
          <w:kern w:val="0"/>
          <w:sz w:val="22"/>
          <w:szCs w:val="22"/>
          <w14:ligatures w14:val="none"/>
        </w:rPr>
      </w:pPr>
    </w:p>
    <w:p w14:paraId="2EB2A3DD" w14:textId="77777777" w:rsidR="00E65478" w:rsidRDefault="00E65478" w:rsidP="00E65478">
      <w:pPr>
        <w:spacing w:after="0" w:line="360" w:lineRule="auto"/>
        <w:jc w:val="both"/>
        <w:rPr>
          <w:rFonts w:ascii="Arial" w:eastAsia="Times New Roman" w:hAnsi="Arial" w:cs="Arial"/>
          <w:kern w:val="0"/>
          <w:sz w:val="22"/>
          <w:szCs w:val="22"/>
          <w14:ligatures w14:val="none"/>
        </w:rPr>
      </w:pPr>
      <w:r w:rsidRPr="00E65478">
        <w:rPr>
          <w:rFonts w:ascii="Arial" w:eastAsia="Times New Roman" w:hAnsi="Arial" w:cs="Arial"/>
          <w:kern w:val="0"/>
          <w:sz w:val="22"/>
          <w:szCs w:val="22"/>
          <w14:ligatures w14:val="none"/>
        </w:rPr>
        <w:t>The proceedings focused on the extent to which design protection can be claimed for modular load-bearing systems in a market shaped by technical requirements and industry-wide standards. Taking into account the high density of prior designs in this product segment and the limited design freedom available to manufacturers, the Court concluded that the Mehler Protection’s Grid Carrier creates a different overall impression and therefore does not infringe the asserted design rights.</w:t>
      </w:r>
    </w:p>
    <w:p w14:paraId="359381E9" w14:textId="77777777" w:rsidR="00E65478" w:rsidRPr="00E65478" w:rsidRDefault="00E65478" w:rsidP="00E65478">
      <w:pPr>
        <w:spacing w:after="0" w:line="360" w:lineRule="auto"/>
        <w:jc w:val="both"/>
        <w:rPr>
          <w:rFonts w:ascii="Arial" w:eastAsia="Times New Roman" w:hAnsi="Arial" w:cs="Arial"/>
          <w:kern w:val="0"/>
          <w:sz w:val="22"/>
          <w:szCs w:val="22"/>
          <w14:ligatures w14:val="none"/>
        </w:rPr>
      </w:pPr>
    </w:p>
    <w:p w14:paraId="1645326D" w14:textId="77777777" w:rsidR="00E65478" w:rsidRDefault="00E65478" w:rsidP="00E65478">
      <w:pPr>
        <w:spacing w:after="0" w:line="360" w:lineRule="auto"/>
        <w:jc w:val="both"/>
        <w:rPr>
          <w:rFonts w:ascii="Arial" w:eastAsia="Times New Roman" w:hAnsi="Arial" w:cs="Arial"/>
          <w:kern w:val="0"/>
          <w:sz w:val="22"/>
          <w:szCs w:val="22"/>
          <w14:ligatures w14:val="none"/>
        </w:rPr>
      </w:pPr>
      <w:r w:rsidRPr="00E65478">
        <w:rPr>
          <w:rFonts w:ascii="Arial" w:eastAsia="Times New Roman" w:hAnsi="Arial" w:cs="Arial"/>
          <w:kern w:val="0"/>
          <w:sz w:val="22"/>
          <w:szCs w:val="22"/>
          <w14:ligatures w14:val="none"/>
        </w:rPr>
        <w:t>“This decision provides important clarity for us,  our customers and partners and the market. It confirms that the allegations of design right infringement raised against our Grid Carrier were unfounded and that industry-standard interfaces and functional standards must remain available to all market participants,” said Dr. Christian Rödel, Head of Development New Products at Mehler Protection | Body Armour.</w:t>
      </w:r>
    </w:p>
    <w:p w14:paraId="4953FB92" w14:textId="77777777" w:rsidR="00E65478" w:rsidRPr="00E65478" w:rsidRDefault="00E65478" w:rsidP="00E65478">
      <w:pPr>
        <w:spacing w:after="0" w:line="360" w:lineRule="auto"/>
        <w:jc w:val="both"/>
        <w:rPr>
          <w:rFonts w:ascii="Arial" w:eastAsia="Times New Roman" w:hAnsi="Arial" w:cs="Arial"/>
          <w:kern w:val="0"/>
          <w:sz w:val="22"/>
          <w:szCs w:val="22"/>
          <w14:ligatures w14:val="none"/>
        </w:rPr>
      </w:pPr>
    </w:p>
    <w:p w14:paraId="77AC2A9A" w14:textId="77777777" w:rsidR="00E65478" w:rsidRDefault="00E65478" w:rsidP="00E65478">
      <w:pPr>
        <w:spacing w:after="0" w:line="360" w:lineRule="auto"/>
        <w:jc w:val="both"/>
        <w:rPr>
          <w:rFonts w:ascii="Arial" w:eastAsia="Times New Roman" w:hAnsi="Arial" w:cs="Arial"/>
          <w:kern w:val="0"/>
          <w:sz w:val="22"/>
          <w:szCs w:val="22"/>
          <w14:ligatures w14:val="none"/>
        </w:rPr>
      </w:pPr>
      <w:r w:rsidRPr="00E65478">
        <w:rPr>
          <w:rFonts w:ascii="Arial" w:eastAsia="Times New Roman" w:hAnsi="Arial" w:cs="Arial"/>
          <w:kern w:val="0"/>
          <w:sz w:val="22"/>
          <w:szCs w:val="22"/>
          <w14:ligatures w14:val="none"/>
        </w:rPr>
        <w:t>Mehler Protection welcomes the decision as a confirmation of its legal position and as a contribution to fair competition in a market characterized by technical standards, interoperability and functional requirements.</w:t>
      </w:r>
    </w:p>
    <w:p w14:paraId="77EEDFAA" w14:textId="77777777" w:rsidR="00E65478" w:rsidRDefault="00E65478" w:rsidP="00E65478">
      <w:pPr>
        <w:spacing w:after="0" w:line="360" w:lineRule="auto"/>
        <w:jc w:val="both"/>
        <w:rPr>
          <w:rFonts w:ascii="Arial" w:eastAsia="Times New Roman" w:hAnsi="Arial" w:cs="Arial"/>
          <w:kern w:val="0"/>
          <w:sz w:val="22"/>
          <w:szCs w:val="22"/>
          <w14:ligatures w14:val="none"/>
        </w:rPr>
      </w:pPr>
    </w:p>
    <w:p w14:paraId="12D64C30" w14:textId="77777777" w:rsidR="00E65478" w:rsidRDefault="00E65478" w:rsidP="00E65478">
      <w:pPr>
        <w:spacing w:after="0" w:line="360" w:lineRule="auto"/>
        <w:jc w:val="both"/>
        <w:rPr>
          <w:rFonts w:ascii="Arial" w:eastAsia="Times New Roman" w:hAnsi="Arial" w:cs="Arial"/>
          <w:kern w:val="0"/>
          <w:sz w:val="22"/>
          <w:szCs w:val="22"/>
          <w14:ligatures w14:val="none"/>
        </w:rPr>
      </w:pPr>
    </w:p>
    <w:p w14:paraId="1BA1EB88" w14:textId="77777777" w:rsidR="00E65478" w:rsidRDefault="00E65478" w:rsidP="00E65478">
      <w:pPr>
        <w:spacing w:after="0" w:line="360" w:lineRule="auto"/>
        <w:jc w:val="both"/>
        <w:rPr>
          <w:rFonts w:ascii="Arial" w:eastAsia="Times New Roman" w:hAnsi="Arial" w:cs="Arial"/>
          <w:kern w:val="0"/>
          <w:sz w:val="22"/>
          <w:szCs w:val="22"/>
          <w14:ligatures w14:val="none"/>
        </w:rPr>
      </w:pPr>
    </w:p>
    <w:p w14:paraId="7529A476" w14:textId="77777777" w:rsidR="00E65478" w:rsidRDefault="00E65478" w:rsidP="00E65478">
      <w:pPr>
        <w:spacing w:after="0" w:line="360" w:lineRule="auto"/>
        <w:jc w:val="both"/>
        <w:rPr>
          <w:rFonts w:ascii="Arial" w:eastAsia="Times New Roman" w:hAnsi="Arial" w:cs="Arial"/>
          <w:kern w:val="0"/>
          <w:sz w:val="22"/>
          <w:szCs w:val="22"/>
          <w14:ligatures w14:val="none"/>
        </w:rPr>
      </w:pPr>
    </w:p>
    <w:p w14:paraId="1C1CEDE5" w14:textId="77777777" w:rsidR="00E65478" w:rsidRPr="00E65478" w:rsidRDefault="00E65478" w:rsidP="00E65478">
      <w:pPr>
        <w:spacing w:after="0" w:line="360" w:lineRule="auto"/>
        <w:jc w:val="both"/>
        <w:rPr>
          <w:rFonts w:ascii="Arial" w:eastAsia="Times New Roman" w:hAnsi="Arial" w:cs="Arial"/>
          <w:kern w:val="0"/>
          <w:sz w:val="22"/>
          <w:szCs w:val="22"/>
          <w14:ligatures w14:val="none"/>
        </w:rPr>
      </w:pPr>
    </w:p>
    <w:p w14:paraId="3193FA4F" w14:textId="77777777" w:rsidR="00E65478" w:rsidRPr="00E65478" w:rsidRDefault="00E65478" w:rsidP="00E65478">
      <w:pPr>
        <w:pStyle w:val="NormalWeb"/>
        <w:spacing w:before="0" w:beforeAutospacing="0" w:after="0" w:afterAutospacing="0" w:line="360" w:lineRule="auto"/>
        <w:jc w:val="both"/>
        <w:rPr>
          <w:rFonts w:ascii="Arial" w:hAnsi="Arial" w:cs="Arial"/>
          <w:sz w:val="22"/>
          <w:szCs w:val="22"/>
        </w:rPr>
      </w:pPr>
      <w:r w:rsidRPr="00E65478">
        <w:rPr>
          <w:rStyle w:val="Strong"/>
          <w:rFonts w:ascii="Arial" w:eastAsiaTheme="majorEastAsia" w:hAnsi="Arial" w:cs="Arial"/>
          <w:i/>
          <w:iCs/>
          <w:sz w:val="22"/>
          <w:szCs w:val="22"/>
        </w:rPr>
        <w:lastRenderedPageBreak/>
        <w:t>About Mehler Protection:</w:t>
      </w:r>
    </w:p>
    <w:p w14:paraId="14F68636" w14:textId="77777777" w:rsidR="00E65478" w:rsidRDefault="00E65478" w:rsidP="00E65478">
      <w:pPr>
        <w:pStyle w:val="NormalWeb"/>
        <w:spacing w:before="0" w:beforeAutospacing="0" w:after="0" w:afterAutospacing="0" w:line="360" w:lineRule="auto"/>
        <w:jc w:val="both"/>
        <w:rPr>
          <w:rStyle w:val="Emphasis"/>
          <w:rFonts w:ascii="Arial" w:eastAsiaTheme="majorEastAsia" w:hAnsi="Arial" w:cs="Arial"/>
          <w:sz w:val="22"/>
          <w:szCs w:val="22"/>
        </w:rPr>
      </w:pPr>
      <w:r w:rsidRPr="00E65478">
        <w:rPr>
          <w:rStyle w:val="Emphasis"/>
          <w:rFonts w:ascii="Arial" w:eastAsiaTheme="majorEastAsia" w:hAnsi="Arial" w:cs="Arial"/>
          <w:sz w:val="22"/>
          <w:szCs w:val="22"/>
        </w:rPr>
        <w:t>Mehler Protection is a leading provider of high-quality ballistic protection systems for law enforcement agencies, military, and special forces. The company is committed to safety, providing innovative and robust solutions tailored to mission-specific requirements. Its portfolio includes ballistic body armour, stab and cut protection, helmets, shields, and platform armour for naval, air, and land vehicles, as well as critical infrastructure.</w:t>
      </w:r>
    </w:p>
    <w:p w14:paraId="3611DFD6" w14:textId="77777777" w:rsidR="00E65478" w:rsidRPr="00E65478" w:rsidRDefault="00E65478" w:rsidP="00E65478">
      <w:pPr>
        <w:pStyle w:val="NormalWeb"/>
        <w:spacing w:before="0" w:beforeAutospacing="0" w:after="0" w:afterAutospacing="0" w:line="360" w:lineRule="auto"/>
        <w:jc w:val="both"/>
        <w:rPr>
          <w:rFonts w:ascii="Arial" w:hAnsi="Arial" w:cs="Arial"/>
          <w:sz w:val="22"/>
          <w:szCs w:val="22"/>
        </w:rPr>
      </w:pPr>
    </w:p>
    <w:p w14:paraId="50879378" w14:textId="77777777" w:rsidR="00E65478" w:rsidRDefault="00E65478" w:rsidP="00E65478">
      <w:pPr>
        <w:pStyle w:val="NormalWeb"/>
        <w:spacing w:before="0" w:beforeAutospacing="0" w:after="0" w:afterAutospacing="0" w:line="360" w:lineRule="auto"/>
        <w:jc w:val="both"/>
        <w:rPr>
          <w:rStyle w:val="Emphasis"/>
          <w:rFonts w:ascii="Arial" w:eastAsiaTheme="majorEastAsia" w:hAnsi="Arial" w:cs="Arial"/>
          <w:sz w:val="22"/>
          <w:szCs w:val="22"/>
        </w:rPr>
      </w:pPr>
      <w:r w:rsidRPr="00E65478">
        <w:rPr>
          <w:rStyle w:val="Emphasis"/>
          <w:rFonts w:ascii="Arial" w:eastAsiaTheme="majorEastAsia" w:hAnsi="Arial" w:cs="Arial"/>
          <w:sz w:val="22"/>
          <w:szCs w:val="22"/>
        </w:rPr>
        <w:t>As part of the Mehler Systems Group, Mehler Protection draws on over four decades of experience in developing and manufacturing customised protection solutions.</w:t>
      </w:r>
    </w:p>
    <w:p w14:paraId="2D073009" w14:textId="77777777" w:rsidR="00E65478" w:rsidRPr="00E65478" w:rsidRDefault="00E65478" w:rsidP="00E65478">
      <w:pPr>
        <w:pStyle w:val="NormalWeb"/>
        <w:spacing w:before="0" w:beforeAutospacing="0" w:after="0" w:afterAutospacing="0" w:line="360" w:lineRule="auto"/>
        <w:jc w:val="both"/>
        <w:rPr>
          <w:rFonts w:ascii="Arial" w:hAnsi="Arial" w:cs="Arial"/>
          <w:sz w:val="22"/>
          <w:szCs w:val="22"/>
        </w:rPr>
      </w:pPr>
    </w:p>
    <w:p w14:paraId="7C3131DD" w14:textId="77777777" w:rsidR="00E65478" w:rsidRPr="00E65478" w:rsidRDefault="00E65478" w:rsidP="00E65478">
      <w:pPr>
        <w:pStyle w:val="NormalWeb"/>
        <w:spacing w:before="0" w:beforeAutospacing="0" w:after="0" w:afterAutospacing="0" w:line="360" w:lineRule="auto"/>
        <w:jc w:val="both"/>
        <w:rPr>
          <w:rFonts w:ascii="Arial" w:hAnsi="Arial" w:cs="Arial"/>
          <w:sz w:val="22"/>
          <w:szCs w:val="22"/>
        </w:rPr>
      </w:pPr>
      <w:r w:rsidRPr="00E65478">
        <w:rPr>
          <w:rStyle w:val="Strong"/>
          <w:rFonts w:ascii="Arial" w:eastAsiaTheme="majorEastAsia" w:hAnsi="Arial" w:cs="Arial"/>
          <w:i/>
          <w:iCs/>
          <w:sz w:val="22"/>
          <w:szCs w:val="22"/>
        </w:rPr>
        <w:t>Media Contact:</w:t>
      </w:r>
    </w:p>
    <w:p w14:paraId="0652F23C" w14:textId="77777777" w:rsidR="00E65478" w:rsidRPr="00E65478" w:rsidRDefault="00E65478" w:rsidP="00E65478">
      <w:pPr>
        <w:pStyle w:val="NormalWeb"/>
        <w:spacing w:before="0" w:beforeAutospacing="0" w:after="0" w:afterAutospacing="0" w:line="360" w:lineRule="auto"/>
        <w:jc w:val="both"/>
        <w:rPr>
          <w:rFonts w:ascii="Arial" w:hAnsi="Arial" w:cs="Arial"/>
          <w:sz w:val="22"/>
          <w:szCs w:val="22"/>
        </w:rPr>
      </w:pPr>
      <w:r w:rsidRPr="00E65478">
        <w:rPr>
          <w:rStyle w:val="Emphasis"/>
          <w:rFonts w:ascii="Arial" w:eastAsiaTheme="majorEastAsia" w:hAnsi="Arial" w:cs="Arial"/>
          <w:sz w:val="22"/>
          <w:szCs w:val="22"/>
        </w:rPr>
        <w:t>Philipp Somogyi</w:t>
      </w:r>
    </w:p>
    <w:p w14:paraId="3723A085" w14:textId="77777777" w:rsidR="00E65478" w:rsidRPr="00E65478" w:rsidRDefault="00E65478" w:rsidP="00E65478">
      <w:pPr>
        <w:pStyle w:val="NormalWeb"/>
        <w:spacing w:before="0" w:beforeAutospacing="0" w:after="0" w:afterAutospacing="0" w:line="360" w:lineRule="auto"/>
        <w:jc w:val="both"/>
        <w:rPr>
          <w:rFonts w:ascii="Arial" w:hAnsi="Arial" w:cs="Arial"/>
          <w:sz w:val="22"/>
          <w:szCs w:val="22"/>
        </w:rPr>
      </w:pPr>
      <w:r w:rsidRPr="00E65478">
        <w:rPr>
          <w:rStyle w:val="Emphasis"/>
          <w:rFonts w:ascii="Arial" w:eastAsiaTheme="majorEastAsia" w:hAnsi="Arial" w:cs="Arial"/>
          <w:sz w:val="22"/>
          <w:szCs w:val="22"/>
        </w:rPr>
        <w:t>Head of Marketing Body and Platform Armour</w:t>
      </w:r>
    </w:p>
    <w:p w14:paraId="6CD1D50C" w14:textId="77777777" w:rsidR="00E65478" w:rsidRPr="00E65478" w:rsidRDefault="00E65478" w:rsidP="00E65478">
      <w:pPr>
        <w:pStyle w:val="NormalWeb"/>
        <w:spacing w:before="0" w:beforeAutospacing="0" w:after="0" w:afterAutospacing="0" w:line="360" w:lineRule="auto"/>
        <w:jc w:val="both"/>
        <w:rPr>
          <w:rFonts w:ascii="Arial" w:hAnsi="Arial" w:cs="Arial"/>
          <w:b/>
          <w:bCs/>
          <w:sz w:val="22"/>
          <w:szCs w:val="22"/>
        </w:rPr>
      </w:pPr>
      <w:hyperlink r:id="rId4" w:history="1">
        <w:r w:rsidRPr="00E65478">
          <w:rPr>
            <w:rStyle w:val="Strong"/>
            <w:rFonts w:ascii="Arial" w:eastAsiaTheme="majorEastAsia" w:hAnsi="Arial" w:cs="Arial"/>
            <w:b w:val="0"/>
            <w:bCs w:val="0"/>
            <w:i/>
            <w:iCs/>
            <w:color w:val="0000FF"/>
            <w:sz w:val="22"/>
            <w:szCs w:val="22"/>
            <w:u w:val="single"/>
          </w:rPr>
          <w:t>philipp.somogyi@mehler-systems.com</w:t>
        </w:r>
      </w:hyperlink>
    </w:p>
    <w:p w14:paraId="698B8A61" w14:textId="77777777" w:rsidR="00A57860" w:rsidRPr="00E65478" w:rsidRDefault="00A57860" w:rsidP="00E65478">
      <w:pPr>
        <w:spacing w:after="0" w:line="360" w:lineRule="auto"/>
        <w:jc w:val="both"/>
        <w:rPr>
          <w:rFonts w:ascii="Arial" w:hAnsi="Arial" w:cs="Arial"/>
          <w:sz w:val="22"/>
          <w:szCs w:val="22"/>
        </w:rPr>
      </w:pPr>
    </w:p>
    <w:sectPr w:rsidR="00A57860" w:rsidRPr="00E654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C98"/>
    <w:rsid w:val="008A4C98"/>
    <w:rsid w:val="00A57860"/>
    <w:rsid w:val="00C73D97"/>
    <w:rsid w:val="00CC2A46"/>
    <w:rsid w:val="00E65478"/>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004A5575"/>
  <w15:chartTrackingRefBased/>
  <w15:docId w15:val="{037C4F99-51DF-BB40-91EC-219EC86F7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4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4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C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C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C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C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C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C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C98"/>
    <w:rPr>
      <w:rFonts w:eastAsiaTheme="majorEastAsia" w:cstheme="majorBidi"/>
      <w:color w:val="272727" w:themeColor="text1" w:themeTint="D8"/>
    </w:rPr>
  </w:style>
  <w:style w:type="paragraph" w:styleId="Title">
    <w:name w:val="Title"/>
    <w:basedOn w:val="Normal"/>
    <w:next w:val="Normal"/>
    <w:link w:val="TitleChar"/>
    <w:uiPriority w:val="10"/>
    <w:qFormat/>
    <w:rsid w:val="008A4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C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C98"/>
    <w:pPr>
      <w:spacing w:before="160"/>
      <w:jc w:val="center"/>
    </w:pPr>
    <w:rPr>
      <w:i/>
      <w:iCs/>
      <w:color w:val="404040" w:themeColor="text1" w:themeTint="BF"/>
    </w:rPr>
  </w:style>
  <w:style w:type="character" w:customStyle="1" w:styleId="QuoteChar">
    <w:name w:val="Quote Char"/>
    <w:basedOn w:val="DefaultParagraphFont"/>
    <w:link w:val="Quote"/>
    <w:uiPriority w:val="29"/>
    <w:rsid w:val="008A4C98"/>
    <w:rPr>
      <w:i/>
      <w:iCs/>
      <w:color w:val="404040" w:themeColor="text1" w:themeTint="BF"/>
    </w:rPr>
  </w:style>
  <w:style w:type="paragraph" w:styleId="ListParagraph">
    <w:name w:val="List Paragraph"/>
    <w:basedOn w:val="Normal"/>
    <w:uiPriority w:val="34"/>
    <w:qFormat/>
    <w:rsid w:val="008A4C98"/>
    <w:pPr>
      <w:ind w:left="720"/>
      <w:contextualSpacing/>
    </w:pPr>
  </w:style>
  <w:style w:type="character" w:styleId="IntenseEmphasis">
    <w:name w:val="Intense Emphasis"/>
    <w:basedOn w:val="DefaultParagraphFont"/>
    <w:uiPriority w:val="21"/>
    <w:qFormat/>
    <w:rsid w:val="008A4C98"/>
    <w:rPr>
      <w:i/>
      <w:iCs/>
      <w:color w:val="0F4761" w:themeColor="accent1" w:themeShade="BF"/>
    </w:rPr>
  </w:style>
  <w:style w:type="paragraph" w:styleId="IntenseQuote">
    <w:name w:val="Intense Quote"/>
    <w:basedOn w:val="Normal"/>
    <w:next w:val="Normal"/>
    <w:link w:val="IntenseQuoteChar"/>
    <w:uiPriority w:val="30"/>
    <w:qFormat/>
    <w:rsid w:val="008A4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C98"/>
    <w:rPr>
      <w:i/>
      <w:iCs/>
      <w:color w:val="0F4761" w:themeColor="accent1" w:themeShade="BF"/>
    </w:rPr>
  </w:style>
  <w:style w:type="character" w:styleId="IntenseReference">
    <w:name w:val="Intense Reference"/>
    <w:basedOn w:val="DefaultParagraphFont"/>
    <w:uiPriority w:val="32"/>
    <w:qFormat/>
    <w:rsid w:val="008A4C98"/>
    <w:rPr>
      <w:b/>
      <w:bCs/>
      <w:smallCaps/>
      <w:color w:val="0F4761" w:themeColor="accent1" w:themeShade="BF"/>
      <w:spacing w:val="5"/>
    </w:rPr>
  </w:style>
  <w:style w:type="character" w:styleId="Strong">
    <w:name w:val="Strong"/>
    <w:basedOn w:val="DefaultParagraphFont"/>
    <w:uiPriority w:val="22"/>
    <w:qFormat/>
    <w:rsid w:val="008A4C98"/>
    <w:rPr>
      <w:b/>
      <w:bCs/>
    </w:rPr>
  </w:style>
  <w:style w:type="paragraph" w:styleId="NormalWeb">
    <w:name w:val="Normal (Web)"/>
    <w:basedOn w:val="Normal"/>
    <w:uiPriority w:val="99"/>
    <w:semiHidden/>
    <w:unhideWhenUsed/>
    <w:rsid w:val="008A4C9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654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hilipp.somogyi@mehler-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382</Words>
  <Characters>2182</Characters>
  <Application>Microsoft Office Word</Application>
  <DocSecurity>0</DocSecurity>
  <Lines>18</Lines>
  <Paragraphs>5</Paragraphs>
  <ScaleCrop>false</ScaleCrop>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2026-10-19T13:40:00Z</dcterms:created>
  <dcterms:modified xsi:type="dcterms:W3CDTF">2026-10-20T07:05:00Z</dcterms:modified>
</cp:coreProperties>
</file>