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95D54" w14:textId="77777777" w:rsidR="00AE6755" w:rsidRPr="00AE6755" w:rsidRDefault="00AE6755" w:rsidP="00AE6755">
      <w:pPr>
        <w:spacing w:after="0" w:line="360" w:lineRule="auto"/>
        <w:jc w:val="both"/>
        <w:outlineLvl w:val="0"/>
        <w:rPr>
          <w:rFonts w:ascii="Arial" w:eastAsia="Times New Roman" w:hAnsi="Arial" w:cs="Arial"/>
          <w:b/>
          <w:bCs/>
          <w:kern w:val="36"/>
          <w:sz w:val="22"/>
          <w:szCs w:val="22"/>
          <w14:ligatures w14:val="none"/>
        </w:rPr>
      </w:pPr>
      <w:r w:rsidRPr="00AE6755">
        <w:rPr>
          <w:rFonts w:ascii="Arial" w:eastAsia="Times New Roman" w:hAnsi="Arial" w:cs="Arial"/>
          <w:b/>
          <w:bCs/>
          <w:kern w:val="36"/>
          <w:sz w:val="22"/>
          <w:szCs w:val="22"/>
          <w14:ligatures w14:val="none"/>
        </w:rPr>
        <w:t>Mehler Vario System GmbH setzt sich im Designrechtsstreit mit NFM AS auch in zweiter Instanz durch</w:t>
      </w:r>
    </w:p>
    <w:p w14:paraId="051D5F4F" w14:textId="77777777" w:rsidR="00AE6755" w:rsidRPr="00AE6755" w:rsidRDefault="00AE6755" w:rsidP="00AE6755">
      <w:pPr>
        <w:spacing w:after="0" w:line="360" w:lineRule="auto"/>
        <w:jc w:val="both"/>
        <w:outlineLvl w:val="0"/>
        <w:rPr>
          <w:rFonts w:ascii="Arial" w:eastAsia="Times New Roman" w:hAnsi="Arial" w:cs="Arial"/>
          <w:b/>
          <w:bCs/>
          <w:kern w:val="36"/>
          <w:sz w:val="22"/>
          <w:szCs w:val="22"/>
          <w14:ligatures w14:val="none"/>
        </w:rPr>
      </w:pPr>
    </w:p>
    <w:p w14:paraId="225E4904" w14:textId="77777777" w:rsidR="00AE6755" w:rsidRPr="00AE6755" w:rsidRDefault="00AE6755" w:rsidP="00AE6755">
      <w:pPr>
        <w:spacing w:after="0" w:line="360" w:lineRule="auto"/>
        <w:jc w:val="both"/>
        <w:rPr>
          <w:rFonts w:ascii="Arial" w:eastAsia="Times New Roman" w:hAnsi="Arial" w:cs="Arial"/>
          <w:kern w:val="0"/>
          <w:sz w:val="22"/>
          <w:szCs w:val="22"/>
          <w14:ligatures w14:val="none"/>
        </w:rPr>
      </w:pPr>
      <w:r w:rsidRPr="00AE6755">
        <w:rPr>
          <w:rFonts w:ascii="Arial" w:eastAsia="Times New Roman" w:hAnsi="Arial" w:cs="Arial"/>
          <w:kern w:val="0"/>
          <w:sz w:val="22"/>
          <w:szCs w:val="22"/>
          <w14:ligatures w14:val="none"/>
        </w:rPr>
        <w:t>Oberlandesgericht Düsseldorf bestätigt: Grid Carrier von Mehler Protection verletzt keine Designrechte von NFM AS</w:t>
      </w:r>
    </w:p>
    <w:p w14:paraId="2D33376F" w14:textId="77777777" w:rsidR="00AE6755" w:rsidRPr="00AE6755" w:rsidRDefault="00AE6755" w:rsidP="00AE6755">
      <w:pPr>
        <w:spacing w:after="0" w:line="360" w:lineRule="auto"/>
        <w:jc w:val="both"/>
        <w:rPr>
          <w:rFonts w:ascii="Arial" w:eastAsia="Times New Roman" w:hAnsi="Arial" w:cs="Arial"/>
          <w:kern w:val="0"/>
          <w:sz w:val="22"/>
          <w:szCs w:val="22"/>
          <w14:ligatures w14:val="none"/>
        </w:rPr>
      </w:pPr>
    </w:p>
    <w:p w14:paraId="3CA9E72C" w14:textId="77777777" w:rsidR="00AE6755" w:rsidRPr="00AE6755" w:rsidRDefault="00AE6755" w:rsidP="00AE6755">
      <w:pPr>
        <w:spacing w:after="0" w:line="360" w:lineRule="auto"/>
        <w:jc w:val="both"/>
        <w:rPr>
          <w:rStyle w:val="notion-enable-hover"/>
          <w:rFonts w:ascii="Arial" w:hAnsi="Arial" w:cs="Arial"/>
          <w:b/>
          <w:bCs/>
          <w:sz w:val="22"/>
          <w:szCs w:val="22"/>
        </w:rPr>
      </w:pPr>
      <w:r w:rsidRPr="00AE6755">
        <w:rPr>
          <w:rStyle w:val="notion-enable-hover"/>
          <w:rFonts w:ascii="Arial" w:hAnsi="Arial" w:cs="Arial"/>
          <w:b/>
          <w:bCs/>
          <w:sz w:val="22"/>
          <w:szCs w:val="22"/>
        </w:rPr>
        <w:t>FULDA, DEUTSCHLAND (20. Oktober 2026)</w:t>
      </w:r>
    </w:p>
    <w:p w14:paraId="3CCBC9A5" w14:textId="77777777" w:rsidR="00AE6755" w:rsidRPr="00AE6755" w:rsidRDefault="00AE6755" w:rsidP="00AE6755">
      <w:pPr>
        <w:spacing w:after="0" w:line="360" w:lineRule="auto"/>
        <w:jc w:val="both"/>
        <w:rPr>
          <w:rStyle w:val="notion-enable-hover"/>
          <w:rFonts w:ascii="Arial" w:hAnsi="Arial" w:cs="Arial"/>
          <w:b/>
          <w:bCs/>
          <w:sz w:val="22"/>
          <w:szCs w:val="22"/>
        </w:rPr>
      </w:pPr>
    </w:p>
    <w:p w14:paraId="1623EEB4" w14:textId="5D16551B" w:rsidR="00AE6755" w:rsidRDefault="00AE6755" w:rsidP="00AE6755">
      <w:pPr>
        <w:spacing w:after="0" w:line="360" w:lineRule="auto"/>
        <w:jc w:val="both"/>
        <w:rPr>
          <w:rFonts w:ascii="Arial" w:eastAsia="Times New Roman" w:hAnsi="Arial" w:cs="Arial"/>
          <w:kern w:val="0"/>
          <w:sz w:val="22"/>
          <w:szCs w:val="22"/>
          <w14:ligatures w14:val="none"/>
        </w:rPr>
      </w:pPr>
      <w:r w:rsidRPr="00AE6755">
        <w:rPr>
          <w:rFonts w:ascii="Arial" w:eastAsia="Times New Roman" w:hAnsi="Arial" w:cs="Arial"/>
          <w:kern w:val="0"/>
          <w:sz w:val="22"/>
          <w:szCs w:val="22"/>
          <w14:ligatures w14:val="none"/>
        </w:rPr>
        <w:t>Die Mehler Vario System GmbH, die unter der Marke Mehler Protection innerhalb der Mehler Systems tätig ist, hat auch in zweiter Instanz Recht bekommen: Das Oberlandesgericht Düsseldorf bestätigte die bereits erstinstanzlich ergangene Klageabweisung gegen die von NFM AS erhobenen Vorwürfe und stellte fest, dass der Grid Carrier von Mehler Protection die von NFM AS geltend gemachten Designrechte nicht verletzt. Die Revision wurde nicht zugelassen.</w:t>
      </w:r>
    </w:p>
    <w:p w14:paraId="1C60B4E9" w14:textId="77777777" w:rsidR="00AE6755" w:rsidRPr="00AE6755" w:rsidRDefault="00AE6755" w:rsidP="00AE6755">
      <w:pPr>
        <w:spacing w:after="0" w:line="360" w:lineRule="auto"/>
        <w:jc w:val="both"/>
        <w:rPr>
          <w:rFonts w:ascii="Arial" w:eastAsia="Times New Roman" w:hAnsi="Arial" w:cs="Arial"/>
          <w:kern w:val="0"/>
          <w:sz w:val="22"/>
          <w:szCs w:val="22"/>
          <w14:ligatures w14:val="none"/>
        </w:rPr>
      </w:pPr>
    </w:p>
    <w:p w14:paraId="7B893778" w14:textId="58FD06E9" w:rsidR="00AE6755" w:rsidRDefault="00AE6755" w:rsidP="00AE6755">
      <w:pPr>
        <w:spacing w:after="0" w:line="360" w:lineRule="auto"/>
        <w:jc w:val="both"/>
        <w:rPr>
          <w:rFonts w:ascii="Arial" w:eastAsia="Times New Roman" w:hAnsi="Arial" w:cs="Arial"/>
          <w:kern w:val="0"/>
          <w:sz w:val="22"/>
          <w:szCs w:val="22"/>
          <w14:ligatures w14:val="none"/>
        </w:rPr>
      </w:pPr>
      <w:r w:rsidRPr="00AE6755">
        <w:rPr>
          <w:rFonts w:ascii="Arial" w:eastAsia="Times New Roman" w:hAnsi="Arial" w:cs="Arial"/>
          <w:kern w:val="0"/>
          <w:sz w:val="22"/>
          <w:szCs w:val="22"/>
          <w14:ligatures w14:val="none"/>
        </w:rPr>
        <w:t>Im Verfahren stand insbesondere die Frage im Mittelpunkt, in welchem Umfang Designschutz für modulare Tragesysteme beansprucht werden kann. Das Gericht berücksichtigte dabei die hohe Musterdichte in diesem Produktbereich sowie den eingeschränkten Gestaltungsspielraum aufgrund branchenüblicher Standards und kam zu dem Ergebnis, dass der Grid Carrier von Mehler Protection einen anderen Gesamteindruck vermittelt und keine Designrechtsverletzung vorliegt.</w:t>
      </w:r>
    </w:p>
    <w:p w14:paraId="3C83445C" w14:textId="77777777" w:rsidR="00AE6755" w:rsidRPr="00AE6755" w:rsidRDefault="00AE6755" w:rsidP="00AE6755">
      <w:pPr>
        <w:spacing w:after="0" w:line="360" w:lineRule="auto"/>
        <w:jc w:val="both"/>
        <w:rPr>
          <w:rFonts w:ascii="Arial" w:eastAsia="Times New Roman" w:hAnsi="Arial" w:cs="Arial"/>
          <w:kern w:val="0"/>
          <w:sz w:val="22"/>
          <w:szCs w:val="22"/>
          <w14:ligatures w14:val="none"/>
        </w:rPr>
      </w:pPr>
    </w:p>
    <w:p w14:paraId="5A21ECC1" w14:textId="77777777" w:rsidR="00AE6755" w:rsidRDefault="00AE6755" w:rsidP="00AE6755">
      <w:pPr>
        <w:spacing w:after="0" w:line="360" w:lineRule="auto"/>
        <w:jc w:val="both"/>
        <w:rPr>
          <w:rFonts w:ascii="Arial" w:eastAsia="Times New Roman" w:hAnsi="Arial" w:cs="Arial"/>
          <w:kern w:val="0"/>
          <w:sz w:val="22"/>
          <w:szCs w:val="22"/>
          <w14:ligatures w14:val="none"/>
        </w:rPr>
      </w:pPr>
      <w:r w:rsidRPr="00AE6755">
        <w:rPr>
          <w:rFonts w:ascii="Arial" w:eastAsia="Times New Roman" w:hAnsi="Arial" w:cs="Arial"/>
          <w:kern w:val="0"/>
          <w:sz w:val="22"/>
          <w:szCs w:val="22"/>
          <w14:ligatures w14:val="none"/>
        </w:rPr>
        <w:t>„Die Entscheidung schafft Klarheit für uns, unsere Kunden und Partner und den Markt. Sie bestätigt, dass die gegen den Grid Carrier erhobenen Vorwürfe einer Designrechtsverletzung unbegründet sind und dass branchenübliche Standards und Schnittstellen nicht einzelnen Marktteilnehmern vorbehalten werden können“, erklärt Dr. Christian Rödel, Head of Development New Products bei Mehler Protection | Body Armour.</w:t>
      </w:r>
    </w:p>
    <w:p w14:paraId="110F2D72" w14:textId="77777777" w:rsidR="00AE6755" w:rsidRPr="00AE6755" w:rsidRDefault="00AE6755" w:rsidP="00AE6755">
      <w:pPr>
        <w:spacing w:after="0" w:line="360" w:lineRule="auto"/>
        <w:jc w:val="both"/>
        <w:rPr>
          <w:rFonts w:ascii="Arial" w:eastAsia="Times New Roman" w:hAnsi="Arial" w:cs="Arial"/>
          <w:kern w:val="0"/>
          <w:sz w:val="22"/>
          <w:szCs w:val="22"/>
          <w14:ligatures w14:val="none"/>
        </w:rPr>
      </w:pPr>
    </w:p>
    <w:p w14:paraId="6284932F" w14:textId="77777777" w:rsidR="00AE6755" w:rsidRDefault="00AE6755" w:rsidP="00AE6755">
      <w:pPr>
        <w:spacing w:after="0" w:line="360" w:lineRule="auto"/>
        <w:jc w:val="both"/>
        <w:rPr>
          <w:rFonts w:ascii="Arial" w:eastAsia="Times New Roman" w:hAnsi="Arial" w:cs="Arial"/>
          <w:kern w:val="0"/>
          <w:sz w:val="22"/>
          <w:szCs w:val="22"/>
          <w14:ligatures w14:val="none"/>
        </w:rPr>
      </w:pPr>
      <w:r w:rsidRPr="00AE6755">
        <w:rPr>
          <w:rFonts w:ascii="Arial" w:eastAsia="Times New Roman" w:hAnsi="Arial" w:cs="Arial"/>
          <w:kern w:val="0"/>
          <w:sz w:val="22"/>
          <w:szCs w:val="22"/>
          <w14:ligatures w14:val="none"/>
        </w:rPr>
        <w:t>Mehler Protection begrüßt die Entscheidung als Bestätigung der eigenen Rechtsauffassung und als Beitrag zu fairem Wettbewerb in einem Markt, der von technischen Standards, Interoperabilität und funktionalen Anforderungen geprägt ist.</w:t>
      </w:r>
    </w:p>
    <w:p w14:paraId="0D0D76EB" w14:textId="77777777" w:rsidR="00AE6755" w:rsidRDefault="00AE6755" w:rsidP="00AE6755">
      <w:pPr>
        <w:spacing w:after="0" w:line="360" w:lineRule="auto"/>
        <w:jc w:val="both"/>
        <w:rPr>
          <w:rFonts w:ascii="Arial" w:eastAsia="Times New Roman" w:hAnsi="Arial" w:cs="Arial"/>
          <w:kern w:val="0"/>
          <w:sz w:val="22"/>
          <w:szCs w:val="22"/>
          <w14:ligatures w14:val="none"/>
        </w:rPr>
      </w:pPr>
    </w:p>
    <w:p w14:paraId="5115491C" w14:textId="77777777" w:rsidR="00AE6755" w:rsidRDefault="00AE6755" w:rsidP="00AE6755">
      <w:pPr>
        <w:spacing w:after="0" w:line="360" w:lineRule="auto"/>
        <w:jc w:val="both"/>
        <w:rPr>
          <w:rFonts w:ascii="Arial" w:eastAsia="Times New Roman" w:hAnsi="Arial" w:cs="Arial"/>
          <w:kern w:val="0"/>
          <w:sz w:val="22"/>
          <w:szCs w:val="22"/>
          <w14:ligatures w14:val="none"/>
        </w:rPr>
      </w:pPr>
    </w:p>
    <w:p w14:paraId="4E76FF36" w14:textId="77777777" w:rsidR="00AE6755" w:rsidRDefault="00AE6755" w:rsidP="00AE6755">
      <w:pPr>
        <w:spacing w:after="0" w:line="360" w:lineRule="auto"/>
        <w:jc w:val="both"/>
        <w:rPr>
          <w:rFonts w:ascii="Arial" w:eastAsia="Times New Roman" w:hAnsi="Arial" w:cs="Arial"/>
          <w:kern w:val="0"/>
          <w:sz w:val="22"/>
          <w:szCs w:val="22"/>
          <w14:ligatures w14:val="none"/>
        </w:rPr>
      </w:pPr>
    </w:p>
    <w:p w14:paraId="451CD392" w14:textId="77777777" w:rsidR="00AE6755" w:rsidRPr="00AE6755" w:rsidRDefault="00AE6755" w:rsidP="00AE6755">
      <w:pPr>
        <w:spacing w:after="0" w:line="360" w:lineRule="auto"/>
        <w:jc w:val="both"/>
        <w:rPr>
          <w:rFonts w:ascii="Arial" w:eastAsia="Times New Roman" w:hAnsi="Arial" w:cs="Arial"/>
          <w:kern w:val="0"/>
          <w:sz w:val="22"/>
          <w:szCs w:val="22"/>
          <w14:ligatures w14:val="none"/>
        </w:rPr>
      </w:pPr>
    </w:p>
    <w:p w14:paraId="130F6192" w14:textId="77777777" w:rsidR="00AE6755" w:rsidRPr="00AE6755" w:rsidRDefault="00AE6755" w:rsidP="00AE6755">
      <w:pPr>
        <w:spacing w:after="0" w:line="360" w:lineRule="auto"/>
        <w:jc w:val="both"/>
        <w:rPr>
          <w:rFonts w:ascii="Arial" w:eastAsia="Times New Roman" w:hAnsi="Arial" w:cs="Arial"/>
          <w:kern w:val="0"/>
          <w:sz w:val="22"/>
          <w:szCs w:val="22"/>
          <w14:ligatures w14:val="none"/>
        </w:rPr>
      </w:pPr>
      <w:r w:rsidRPr="00AE6755">
        <w:rPr>
          <w:rFonts w:ascii="Arial" w:eastAsia="Times New Roman" w:hAnsi="Arial" w:cs="Arial"/>
          <w:b/>
          <w:bCs/>
          <w:kern w:val="0"/>
          <w:sz w:val="22"/>
          <w:szCs w:val="22"/>
          <w14:ligatures w14:val="none"/>
        </w:rPr>
        <w:lastRenderedPageBreak/>
        <w:t>Über Mehler Protection</w:t>
      </w:r>
    </w:p>
    <w:p w14:paraId="501EDC4E" w14:textId="77777777" w:rsidR="00AE6755" w:rsidRDefault="00AE6755" w:rsidP="00AE6755">
      <w:pPr>
        <w:spacing w:after="0" w:line="360" w:lineRule="auto"/>
        <w:jc w:val="both"/>
        <w:rPr>
          <w:rFonts w:ascii="Arial" w:eastAsia="Times New Roman" w:hAnsi="Arial" w:cs="Arial"/>
          <w:kern w:val="0"/>
          <w:sz w:val="22"/>
          <w:szCs w:val="22"/>
          <w14:ligatures w14:val="none"/>
        </w:rPr>
      </w:pPr>
      <w:r w:rsidRPr="00AE6755">
        <w:rPr>
          <w:rFonts w:ascii="Arial" w:eastAsia="Times New Roman" w:hAnsi="Arial" w:cs="Arial"/>
          <w:kern w:val="0"/>
          <w:sz w:val="22"/>
          <w:szCs w:val="22"/>
          <w14:ligatures w14:val="none"/>
        </w:rPr>
        <w:t>Mehler Protection ist ein führender Anbieter hochwertiger ballistischer Schutzsysteme für Strafverfolgungsbehörden, Militär und Spezialeinheiten. Das Unternehmen hat sich der Sicherheit durch innovative und langlebige, auf die jeweilige Mission zugeschnittene Lösungen verschrieben. Das Portfolio umfasst ballistischen Körperschutz, Stich- und Schnittschutz, Helme, Schilde sowie Plattformschutz für Schiffe, Luft- und Landfahrzeuge und kritische Infrastrukturen. Als Teil der Mehler Systems Gruppe verfügt Mehler Protection über mehr als vier Jahrzehnte Erfahrung in der Entwicklung und Herstellung maßgeschneiderter Schutzlösungen.</w:t>
      </w:r>
    </w:p>
    <w:p w14:paraId="17D93A84" w14:textId="77777777" w:rsidR="00AE6755" w:rsidRPr="00AE6755" w:rsidRDefault="00AE6755" w:rsidP="00AE6755">
      <w:pPr>
        <w:spacing w:after="0" w:line="360" w:lineRule="auto"/>
        <w:jc w:val="both"/>
        <w:rPr>
          <w:rFonts w:ascii="Arial" w:eastAsia="Times New Roman" w:hAnsi="Arial" w:cs="Arial"/>
          <w:kern w:val="0"/>
          <w:sz w:val="22"/>
          <w:szCs w:val="22"/>
          <w14:ligatures w14:val="none"/>
        </w:rPr>
      </w:pPr>
    </w:p>
    <w:p w14:paraId="4AF67400" w14:textId="77777777" w:rsidR="00AE6755" w:rsidRPr="00AE6755" w:rsidRDefault="00AE6755" w:rsidP="00AE6755">
      <w:pPr>
        <w:spacing w:after="0" w:line="360" w:lineRule="auto"/>
        <w:jc w:val="both"/>
        <w:rPr>
          <w:rFonts w:ascii="Arial" w:eastAsia="Times New Roman" w:hAnsi="Arial" w:cs="Arial"/>
          <w:kern w:val="0"/>
          <w:sz w:val="22"/>
          <w:szCs w:val="22"/>
          <w14:ligatures w14:val="none"/>
        </w:rPr>
      </w:pPr>
      <w:r w:rsidRPr="00AE6755">
        <w:rPr>
          <w:rFonts w:ascii="Arial" w:eastAsia="Times New Roman" w:hAnsi="Arial" w:cs="Arial"/>
          <w:b/>
          <w:bCs/>
          <w:kern w:val="0"/>
          <w:sz w:val="22"/>
          <w:szCs w:val="22"/>
          <w14:ligatures w14:val="none"/>
        </w:rPr>
        <w:t>Medienkontakt</w:t>
      </w:r>
    </w:p>
    <w:p w14:paraId="2827BFA7" w14:textId="77777777" w:rsidR="00AE6755" w:rsidRDefault="00AE6755" w:rsidP="00AE6755">
      <w:pPr>
        <w:spacing w:after="0" w:line="360" w:lineRule="auto"/>
        <w:jc w:val="both"/>
        <w:rPr>
          <w:rFonts w:ascii="Arial" w:eastAsia="Times New Roman" w:hAnsi="Arial" w:cs="Arial"/>
          <w:kern w:val="0"/>
          <w:sz w:val="22"/>
          <w:szCs w:val="22"/>
          <w14:ligatures w14:val="none"/>
        </w:rPr>
      </w:pPr>
      <w:r w:rsidRPr="00AE6755">
        <w:rPr>
          <w:rFonts w:ascii="Arial" w:eastAsia="Times New Roman" w:hAnsi="Arial" w:cs="Arial"/>
          <w:kern w:val="0"/>
          <w:sz w:val="22"/>
          <w:szCs w:val="22"/>
          <w14:ligatures w14:val="none"/>
        </w:rPr>
        <w:t>Philipp Somogyi</w:t>
      </w:r>
    </w:p>
    <w:p w14:paraId="6A8534F1" w14:textId="134CE522" w:rsidR="00AE6755" w:rsidRDefault="00AE6755" w:rsidP="00AE6755">
      <w:pPr>
        <w:spacing w:after="0" w:line="360" w:lineRule="auto"/>
        <w:jc w:val="both"/>
        <w:rPr>
          <w:rFonts w:ascii="Arial" w:eastAsia="Times New Roman" w:hAnsi="Arial" w:cs="Arial"/>
          <w:kern w:val="0"/>
          <w:sz w:val="22"/>
          <w:szCs w:val="22"/>
          <w14:ligatures w14:val="none"/>
        </w:rPr>
      </w:pPr>
      <w:r w:rsidRPr="00AE6755">
        <w:rPr>
          <w:rFonts w:ascii="Arial" w:eastAsia="Times New Roman" w:hAnsi="Arial" w:cs="Arial"/>
          <w:kern w:val="0"/>
          <w:sz w:val="22"/>
          <w:szCs w:val="22"/>
          <w14:ligatures w14:val="none"/>
        </w:rPr>
        <w:t>Head of Marketing Body and Platform Armour</w:t>
      </w:r>
    </w:p>
    <w:p w14:paraId="6BCD11C5" w14:textId="48D690FE" w:rsidR="00AE6755" w:rsidRPr="00AE6755" w:rsidRDefault="00AE6755" w:rsidP="00AE6755">
      <w:pPr>
        <w:spacing w:after="0" w:line="360" w:lineRule="auto"/>
        <w:jc w:val="both"/>
        <w:rPr>
          <w:rFonts w:ascii="Arial" w:eastAsia="Times New Roman" w:hAnsi="Arial" w:cs="Arial"/>
          <w:kern w:val="0"/>
          <w:sz w:val="22"/>
          <w:szCs w:val="22"/>
          <w14:ligatures w14:val="none"/>
        </w:rPr>
      </w:pPr>
      <w:hyperlink r:id="rId4" w:history="1">
        <w:r w:rsidRPr="00AE6755">
          <w:rPr>
            <w:rStyle w:val="Hyperlink"/>
            <w:rFonts w:ascii="Arial" w:eastAsia="Times New Roman" w:hAnsi="Arial" w:cs="Arial"/>
            <w:kern w:val="0"/>
            <w:sz w:val="22"/>
            <w:szCs w:val="22"/>
            <w14:ligatures w14:val="none"/>
          </w:rPr>
          <w:t>philipp.somogyi@mehler-systems.com</w:t>
        </w:r>
      </w:hyperlink>
    </w:p>
    <w:p w14:paraId="3A3906B4" w14:textId="77777777" w:rsidR="00A57860" w:rsidRPr="00AE6755" w:rsidRDefault="00A57860" w:rsidP="00AE6755">
      <w:pPr>
        <w:spacing w:after="0" w:line="360" w:lineRule="auto"/>
        <w:jc w:val="both"/>
        <w:rPr>
          <w:rFonts w:ascii="Arial" w:hAnsi="Arial" w:cs="Arial"/>
          <w:sz w:val="22"/>
          <w:szCs w:val="22"/>
        </w:rPr>
      </w:pPr>
    </w:p>
    <w:sectPr w:rsidR="00A57860" w:rsidRPr="00AE675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755"/>
    <w:rsid w:val="00A57860"/>
    <w:rsid w:val="00AE6755"/>
    <w:rsid w:val="00C73D97"/>
    <w:rsid w:val="00CC2A46"/>
    <w:rsid w:val="00D91508"/>
  </w:rsids>
  <m:mathPr>
    <m:mathFont m:val="Cambria Math"/>
    <m:brkBin m:val="before"/>
    <m:brkBinSub m:val="--"/>
    <m:smallFrac m:val="0"/>
    <m:dispDef/>
    <m:lMargin m:val="0"/>
    <m:rMargin m:val="0"/>
    <m:defJc m:val="centerGroup"/>
    <m:wrapIndent m:val="1440"/>
    <m:intLim m:val="subSup"/>
    <m:naryLim m:val="undOvr"/>
  </m:mathPr>
  <w:themeFontLang w:val="en-SI"/>
  <w:clrSchemeMapping w:bg1="light1" w:t1="dark1" w:bg2="light2" w:t2="dark2" w:accent1="accent1" w:accent2="accent2" w:accent3="accent3" w:accent4="accent4" w:accent5="accent5" w:accent6="accent6" w:hyperlink="hyperlink" w:followedHyperlink="followedHyperlink"/>
  <w:decimalSymbol w:val=","/>
  <w:listSeparator w:val=","/>
  <w14:docId w14:val="66479EA3"/>
  <w15:chartTrackingRefBased/>
  <w15:docId w15:val="{0D6A7D82-4148-604C-A6FD-79087AE3A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67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67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67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67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67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67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67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67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67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67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67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67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67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67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67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67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67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6755"/>
    <w:rPr>
      <w:rFonts w:eastAsiaTheme="majorEastAsia" w:cstheme="majorBidi"/>
      <w:color w:val="272727" w:themeColor="text1" w:themeTint="D8"/>
    </w:rPr>
  </w:style>
  <w:style w:type="paragraph" w:styleId="Title">
    <w:name w:val="Title"/>
    <w:basedOn w:val="Normal"/>
    <w:next w:val="Normal"/>
    <w:link w:val="TitleChar"/>
    <w:uiPriority w:val="10"/>
    <w:qFormat/>
    <w:rsid w:val="00AE67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67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67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67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6755"/>
    <w:pPr>
      <w:spacing w:before="160"/>
      <w:jc w:val="center"/>
    </w:pPr>
    <w:rPr>
      <w:i/>
      <w:iCs/>
      <w:color w:val="404040" w:themeColor="text1" w:themeTint="BF"/>
    </w:rPr>
  </w:style>
  <w:style w:type="character" w:customStyle="1" w:styleId="QuoteChar">
    <w:name w:val="Quote Char"/>
    <w:basedOn w:val="DefaultParagraphFont"/>
    <w:link w:val="Quote"/>
    <w:uiPriority w:val="29"/>
    <w:rsid w:val="00AE6755"/>
    <w:rPr>
      <w:i/>
      <w:iCs/>
      <w:color w:val="404040" w:themeColor="text1" w:themeTint="BF"/>
    </w:rPr>
  </w:style>
  <w:style w:type="paragraph" w:styleId="ListParagraph">
    <w:name w:val="List Paragraph"/>
    <w:basedOn w:val="Normal"/>
    <w:uiPriority w:val="34"/>
    <w:qFormat/>
    <w:rsid w:val="00AE6755"/>
    <w:pPr>
      <w:ind w:left="720"/>
      <w:contextualSpacing/>
    </w:pPr>
  </w:style>
  <w:style w:type="character" w:styleId="IntenseEmphasis">
    <w:name w:val="Intense Emphasis"/>
    <w:basedOn w:val="DefaultParagraphFont"/>
    <w:uiPriority w:val="21"/>
    <w:qFormat/>
    <w:rsid w:val="00AE6755"/>
    <w:rPr>
      <w:i/>
      <w:iCs/>
      <w:color w:val="0F4761" w:themeColor="accent1" w:themeShade="BF"/>
    </w:rPr>
  </w:style>
  <w:style w:type="paragraph" w:styleId="IntenseQuote">
    <w:name w:val="Intense Quote"/>
    <w:basedOn w:val="Normal"/>
    <w:next w:val="Normal"/>
    <w:link w:val="IntenseQuoteChar"/>
    <w:uiPriority w:val="30"/>
    <w:qFormat/>
    <w:rsid w:val="00AE67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6755"/>
    <w:rPr>
      <w:i/>
      <w:iCs/>
      <w:color w:val="0F4761" w:themeColor="accent1" w:themeShade="BF"/>
    </w:rPr>
  </w:style>
  <w:style w:type="character" w:styleId="IntenseReference">
    <w:name w:val="Intense Reference"/>
    <w:basedOn w:val="DefaultParagraphFont"/>
    <w:uiPriority w:val="32"/>
    <w:qFormat/>
    <w:rsid w:val="00AE6755"/>
    <w:rPr>
      <w:b/>
      <w:bCs/>
      <w:smallCaps/>
      <w:color w:val="0F4761" w:themeColor="accent1" w:themeShade="BF"/>
      <w:spacing w:val="5"/>
    </w:rPr>
  </w:style>
  <w:style w:type="character" w:styleId="Strong">
    <w:name w:val="Strong"/>
    <w:basedOn w:val="DefaultParagraphFont"/>
    <w:uiPriority w:val="22"/>
    <w:qFormat/>
    <w:rsid w:val="00AE6755"/>
    <w:rPr>
      <w:b/>
      <w:bCs/>
    </w:rPr>
  </w:style>
  <w:style w:type="paragraph" w:styleId="NormalWeb">
    <w:name w:val="Normal (Web)"/>
    <w:basedOn w:val="Normal"/>
    <w:uiPriority w:val="99"/>
    <w:semiHidden/>
    <w:unhideWhenUsed/>
    <w:rsid w:val="00AE6755"/>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AE6755"/>
    <w:rPr>
      <w:color w:val="0000FF"/>
      <w:u w:val="single"/>
    </w:rPr>
  </w:style>
  <w:style w:type="character" w:customStyle="1" w:styleId="notion-enable-hover">
    <w:name w:val="notion-enable-hover"/>
    <w:basedOn w:val="DefaultParagraphFont"/>
    <w:rsid w:val="00AE6755"/>
  </w:style>
  <w:style w:type="character" w:styleId="UnresolvedMention">
    <w:name w:val="Unresolved Mention"/>
    <w:basedOn w:val="DefaultParagraphFont"/>
    <w:uiPriority w:val="99"/>
    <w:semiHidden/>
    <w:unhideWhenUsed/>
    <w:rsid w:val="00AE67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philipp.somogyi@mehler-system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393</Words>
  <Characters>2242</Characters>
  <Application>Microsoft Office Word</Application>
  <DocSecurity>0</DocSecurity>
  <Lines>18</Lines>
  <Paragraphs>5</Paragraphs>
  <ScaleCrop>false</ScaleCrop>
  <Company/>
  <LinksUpToDate>false</LinksUpToDate>
  <CharactersWithSpaces>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Brankovič</dc:creator>
  <cp:keywords/>
  <dc:description/>
  <cp:lastModifiedBy>Marina Brankovič</cp:lastModifiedBy>
  <cp:revision>2</cp:revision>
  <dcterms:created xsi:type="dcterms:W3CDTF">2026-10-20T10:51:00Z</dcterms:created>
  <dcterms:modified xsi:type="dcterms:W3CDTF">2026-10-20T10:51:00Z</dcterms:modified>
</cp:coreProperties>
</file>