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BEAE7" w14:textId="48643382" w:rsidR="00A05157" w:rsidRDefault="00A05157" w:rsidP="00A05157">
      <w:pPr>
        <w:spacing w:after="0" w:line="360" w:lineRule="auto"/>
        <w:jc w:val="both"/>
        <w:outlineLvl w:val="0"/>
        <w:rPr>
          <w:rFonts w:ascii="Arial" w:eastAsia="Times New Roman" w:hAnsi="Arial" w:cs="Arial"/>
          <w:b/>
          <w:bCs/>
          <w:kern w:val="36"/>
          <w:sz w:val="22"/>
          <w:szCs w:val="22"/>
          <w14:ligatures w14:val="none"/>
        </w:rPr>
      </w:pPr>
      <w:r w:rsidRPr="00A05157">
        <w:rPr>
          <w:rFonts w:ascii="Arial" w:eastAsia="Times New Roman" w:hAnsi="Arial" w:cs="Arial"/>
          <w:b/>
          <w:bCs/>
          <w:kern w:val="36"/>
          <w:sz w:val="22"/>
          <w:szCs w:val="22"/>
          <w14:ligatures w14:val="none"/>
        </w:rPr>
        <w:t>Andreas Kiel, directeur des achats du groupe, s’exprime sur la mise en place de chaînes d’approvisionnement résilientes chez Mehler Systems</w:t>
      </w:r>
    </w:p>
    <w:p w14:paraId="21715652" w14:textId="77777777" w:rsidR="00A05157" w:rsidRPr="00A05157" w:rsidRDefault="00A05157" w:rsidP="00A05157">
      <w:pPr>
        <w:spacing w:after="0" w:line="360" w:lineRule="auto"/>
        <w:jc w:val="both"/>
        <w:outlineLvl w:val="0"/>
        <w:rPr>
          <w:rFonts w:ascii="Arial" w:eastAsia="Times New Roman" w:hAnsi="Arial" w:cs="Arial"/>
          <w:b/>
          <w:bCs/>
          <w:kern w:val="36"/>
          <w:sz w:val="22"/>
          <w:szCs w:val="22"/>
          <w14:ligatures w14:val="none"/>
        </w:rPr>
      </w:pPr>
    </w:p>
    <w:p w14:paraId="03FF659B" w14:textId="77777777" w:rsidR="00A05157" w:rsidRDefault="00A05157" w:rsidP="00A05157">
      <w:pPr>
        <w:spacing w:after="0" w:line="360" w:lineRule="auto"/>
        <w:jc w:val="both"/>
        <w:rPr>
          <w:rFonts w:ascii="Arial" w:eastAsia="Times New Roman" w:hAnsi="Arial" w:cs="Arial"/>
          <w:b/>
          <w:bCs/>
          <w:kern w:val="0"/>
          <w:sz w:val="22"/>
          <w:szCs w:val="22"/>
          <w14:ligatures w14:val="none"/>
        </w:rPr>
      </w:pPr>
      <w:r w:rsidRPr="00A05157">
        <w:rPr>
          <w:rFonts w:ascii="Arial" w:eastAsia="Times New Roman" w:hAnsi="Arial" w:cs="Arial"/>
          <w:b/>
          <w:bCs/>
          <w:kern w:val="0"/>
          <w:sz w:val="22"/>
          <w:szCs w:val="22"/>
          <w14:ligatures w14:val="none"/>
        </w:rPr>
        <w:t>FULDA, ALLEMAGNE (18 septembre 2026)</w:t>
      </w:r>
    </w:p>
    <w:p w14:paraId="459D1E8D"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77E99BEF"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Les achats jouent un rôle de plus en plus stratégique chez Mehler Systems, en mettant en relation les réseaux mondiaux de fournisseurs avec les équipes d’ingénierie, la production et les clients afin de renforcer l’innovation, la résilience et la compétitivité à long terme au sein du groupe.</w:t>
      </w:r>
    </w:p>
    <w:p w14:paraId="09DBA39E"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58101B9B"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Dans cet entretien, Andreas Kiel, directeur des achats du groupe Mehler Systems, explique comment les achats ont évolué au-delà de leur fonction traditionnelle, l’importance des partenariats de confiance avec les fournisseurs, le rôle de Mehler Systems Asia et les raisons pour lesquelles les chaînes de valeur résilientes sont devenues un avantage concurrentiel dans l’industrie de la défense actuelle.</w:t>
      </w:r>
    </w:p>
    <w:p w14:paraId="62A27930"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7CFFE5D7"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Q : Beaucoup pensent que les achats consistent avant tout à négocier le prix le plus bas. Chez Mehler Systems, où la qualité et la fiabilité sont essentielles, que signifie réellement « bien acheter » ?</w:t>
      </w:r>
    </w:p>
    <w:p w14:paraId="002175D3"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R :</w:t>
      </w:r>
      <w:r w:rsidRPr="00A05157">
        <w:rPr>
          <w:rFonts w:ascii="Arial" w:eastAsia="Times New Roman" w:hAnsi="Arial" w:cs="Arial"/>
          <w:kern w:val="0"/>
          <w:sz w:val="22"/>
          <w:szCs w:val="22"/>
          <w14:ligatures w14:val="none"/>
        </w:rPr>
        <w:t xml:space="preserve"> Chez Mehler Systems, les achats vont bien au-delà de la négociation des prix. Notre rôle est de créer de la valeur durable en garantissant la qualité, l’innovation, la disponibilité, la résilience et la sécurité d’approvisionnement à long terme sur l’ensemble de notre chaîne de valeur.</w:t>
      </w:r>
    </w:p>
    <w:p w14:paraId="190C7CC4"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1EB1D7C7"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Chez Mehler Systems, la fonction achats évolue : auparavant simple service d’approvisionnement, elle devient aujourd’hui l’architecte de réseaux mondiaux de partenaires et de chaînes de valeur résilientes. Notre mission consiste à mettre en relation les réseaux d’approvisionnement mondiaux avec l’expertise des marchés et des fournisseurs locaux, en réunissant les technologies, les capacités et les partenaires d’innovation appropriés à travers le monde, tout en tenant compte des exigences des marchés régionaux, des différences culturelles et des besoins stratégiques des clients.</w:t>
      </w:r>
    </w:p>
    <w:p w14:paraId="21298BB8"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27AFA2A5"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 xml:space="preserve">Bien acheter signifie bâtir des partenariats de confiance qui créent une valeur mutuelle sur de nombreuses années. L’objectif n’est pas d’obtenir le prix d’achat le plus bas, mais de créer la plus grande valeur à long terme pour nos clients, nos fournisseurs et le groupe Mehler Systems. Cette </w:t>
      </w:r>
      <w:r w:rsidRPr="00A05157">
        <w:rPr>
          <w:rFonts w:ascii="Arial" w:eastAsia="Times New Roman" w:hAnsi="Arial" w:cs="Arial"/>
          <w:kern w:val="0"/>
          <w:sz w:val="22"/>
          <w:szCs w:val="22"/>
          <w14:ligatures w14:val="none"/>
        </w:rPr>
        <w:lastRenderedPageBreak/>
        <w:t>philosophie se résume dans notre principe directeur : « Agir à l’échelle mondiale – penser au niveau local ».</w:t>
      </w:r>
    </w:p>
    <w:p w14:paraId="5DEE45DD"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17FF6265"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Q : Les achats dans le secteur de la défense sont souvent décrits comme beaucoup plus complexes que dans d’autres industries. Qu’est-ce qui les rend différents ?</w:t>
      </w:r>
    </w:p>
    <w:p w14:paraId="3B6E76FC"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R :</w:t>
      </w:r>
      <w:r w:rsidRPr="00A05157">
        <w:rPr>
          <w:rFonts w:ascii="Arial" w:eastAsia="Times New Roman" w:hAnsi="Arial" w:cs="Arial"/>
          <w:kern w:val="0"/>
          <w:sz w:val="22"/>
          <w:szCs w:val="22"/>
          <w14:ligatures w14:val="none"/>
        </w:rPr>
        <w:t xml:space="preserve"> La performance, la fiabilité et la conformité sont essentielles à la mission dans notre secteur. Nombre de nos produits protègent des personnes dans des situations où leur vie est en danger, ce qui signifie que les décisions prises en matière d’achats ont une influence directe sur la capacité opérationnelle et la sécurité des utilisateurs.</w:t>
      </w:r>
    </w:p>
    <w:p w14:paraId="7488208A"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17D78787"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Contrairement à de nombreux autres secteurs, nous devons gérer de longs cycles de vie des produits, des matériaux hautement spécialisés, les contrôles à l’exportation, les réglementations en matière de sécurité et des incertitudes géopolitiques croissantes, tout en garantissant la disponibilité des produits à long terme.</w:t>
      </w:r>
    </w:p>
    <w:p w14:paraId="54632E25"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427701B0"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La complexité des réseaux de production constitue une autre particularité des achats dans le secteur de la défense. Nous ne gérons pas uniquement les fournisseurs directs, mais des chaînes de valeur complètes, depuis les matières premières et les composants spécialisés jusqu’au client final, en passant par plusieurs niveaux de fournisseurs. La transparence, la résilience et la performance à chaque niveau de ce réseau sont devenues des facteurs clés de réussite.</w:t>
      </w:r>
    </w:p>
    <w:p w14:paraId="7C791E35"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6A8886E4"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Les achats jouent donc un rôle de lien stratégique entre les clients, les équipes d’ingénierie, les partenaires de développement, les organisations de production et les fournisseurs dans différentes régions du monde.</w:t>
      </w:r>
    </w:p>
    <w:p w14:paraId="1556F9E9"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12ABBD63"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Q : Les achats travaillent souvent en coulisses. À quel moment intervenez-vous dans le développement d’un nouveau produit ?</w:t>
      </w:r>
    </w:p>
    <w:p w14:paraId="618D294C"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R :</w:t>
      </w:r>
      <w:r w:rsidRPr="00A05157">
        <w:rPr>
          <w:rFonts w:ascii="Arial" w:eastAsia="Times New Roman" w:hAnsi="Arial" w:cs="Arial"/>
          <w:kern w:val="0"/>
          <w:sz w:val="22"/>
          <w:szCs w:val="22"/>
          <w14:ligatures w14:val="none"/>
        </w:rPr>
        <w:t xml:space="preserve"> Idéalement, dès les premières étapes du développement. L’innovation se produit rarement de manière isolée. De nombreuses avancées technologiques trouvent leur origine au sein du réseau de fournisseurs. En impliquant les achats suffisamment en amont, nous pouvons identifier les technologies émergentes, évaluer la maturité de la chaîne d’approvisionnement, mesurer les risques d’industrialisation et accélérer les délais de développement.</w:t>
      </w:r>
    </w:p>
    <w:p w14:paraId="4B26FB7A"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7F763A7F"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lastRenderedPageBreak/>
        <w:t>Notre contribution va bien au-delà de l’approvisionnement en composants. Nous analysons l’ensemble de la chaîne de valeur d’un produit, identifions les dépendances critiques et créons de la transparence au niveau des structures de fournisseurs de deuxième et de troisième rang. Comprendre d’où proviennent réellement les matériaux, les technologies et les capacités de production est devenu un avantage concurrentiel majeur.</w:t>
      </w:r>
    </w:p>
    <w:p w14:paraId="220AC70F"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75AF1DEF"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Les achats ne jouent donc plus uniquement un rôle commercial, mais deviennent de plus en plus un partenaire stratégique pour l’ingénierie, les opérations et la gestion des programmes. Notre rôle consiste à mettre en relation les équipes d’ingénierie avec les leaders technologiques mondiaux et les fournisseurs spécialisés, afin de garantir que les innovations puissent être transformées en solutions de production fiables, industrialisables et résilientes face aux risques.</w:t>
      </w:r>
    </w:p>
    <w:p w14:paraId="550763ED"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5A1C4725"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Q : Chez Mehler Systems, l’innovation prend de nombreuses formes. Comment les achats contribuent-ils à transformer les idées en réalité ?</w:t>
      </w:r>
    </w:p>
    <w:p w14:paraId="09E230E2"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R :</w:t>
      </w:r>
      <w:r w:rsidRPr="00A05157">
        <w:rPr>
          <w:rFonts w:ascii="Arial" w:eastAsia="Times New Roman" w:hAnsi="Arial" w:cs="Arial"/>
          <w:kern w:val="0"/>
          <w:sz w:val="22"/>
          <w:szCs w:val="22"/>
          <w14:ligatures w14:val="none"/>
        </w:rPr>
        <w:t xml:space="preserve"> Toute innovation produit repose sur des technologies, des matériaux, des capacités de production et l’expertise des fournisseurs.</w:t>
      </w:r>
    </w:p>
    <w:p w14:paraId="3E18257D"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457A0ACB"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Notre rôle consiste à identifier les meilleurs partenaires à l’échelle mondiale, à qualifier les nouvelles technologies et à sécuriser les capacités de production nécessaires pour intégrer ces innovations dans la production industrielle.</w:t>
      </w:r>
    </w:p>
    <w:p w14:paraId="542D3FD8"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75FCEC87"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Les fournisseurs eux-mêmes jouent également un rôle important dans l’innovation. Nombre d’entre eux apportent de nouvelles technologies de matériaux, de nouveaux procédés de fabrication et de nouveaux concepts de production qui améliorent à la fois les performances des produits et leur capacité à être produits à grande échelle.</w:t>
      </w:r>
    </w:p>
    <w:p w14:paraId="332CBCDC"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030AEEA2"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C’est pourquoi nous investissons fortement dans des partenariats à long terme avec nos fournisseurs. En collaborant étroitement avec eux au sein de réseaux mondiaux d’innovation, nous bénéficions d’un accès anticipé aux technologies émergentes, aux nouvelles capacités de production et aux nouveaux concepts industriels qui contribuent à façonner la prochaine génération de produits.</w:t>
      </w:r>
    </w:p>
    <w:p w14:paraId="408FB5B6"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55716C6E"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lastRenderedPageBreak/>
        <w:t>Q : Mehler Systems continue de renforcer la collaboration entre ses marques. Quels avantages le fait de travailler comme un seul groupe apporte-t-il du point de vue des achats ?</w:t>
      </w:r>
    </w:p>
    <w:p w14:paraId="7B599EE9"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R :</w:t>
      </w:r>
      <w:r w:rsidRPr="00A05157">
        <w:rPr>
          <w:rFonts w:ascii="Arial" w:eastAsia="Times New Roman" w:hAnsi="Arial" w:cs="Arial"/>
          <w:kern w:val="0"/>
          <w:sz w:val="22"/>
          <w:szCs w:val="22"/>
          <w14:ligatures w14:val="none"/>
        </w:rPr>
        <w:t xml:space="preserve"> Travailler comme un seul groupe renforce considérablement notre position sur le marché, nos capacités d’innovation et l’efficacité de nos achats.</w:t>
      </w:r>
    </w:p>
    <w:p w14:paraId="40C3D4F6"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38325784"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Réunir l’expertise en matière de protections individuelles blindées, de protections de plateforme, de vêtements tactiques et de solutions de transport de charges au sein d’une stratégie d’achats commune nous permet d’exploiter les synergies, de mutualiser les informations sur les marchés, de renforcer les relations avec les fournisseurs et d’améliorer la résilience tout au long de la chaîne de valeur.</w:t>
      </w:r>
    </w:p>
    <w:p w14:paraId="77B0451F"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7E543AFE"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L’un des principaux avantages de fonctionner comme un groupe intégré réside dans notre capacité à combiner une dimension mondiale avec une expertise locale. Grâce à notre présence internationale, nous avons directement accès à des spécialistes locaux expérimentés en matière d’approvisionnement, à des réseaux de fournisseurs établis et à une connaissance approfondie des marchés régionaux.</w:t>
      </w:r>
    </w:p>
    <w:p w14:paraId="22A54FB6"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00680C87"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Cette expertise locale nous permet d’identifier les difficultés plus tôt, d’accélérer la prise de décision, de renforcer la collaboration avec les fournisseurs et de créer plus rapidement de la valeur pour nos clients et l’ensemble du groupe.</w:t>
      </w:r>
    </w:p>
    <w:p w14:paraId="1ADF10D0"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32B539E3"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Q : Mehler Systems Asia est devenu un élément important de cette stratégie. Pourquoi était-ce le bon moment pour renforcer la présence des achats dans la région APAC ?</w:t>
      </w:r>
    </w:p>
    <w:p w14:paraId="6D7A7EB3"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R :</w:t>
      </w:r>
      <w:r w:rsidRPr="00A05157">
        <w:rPr>
          <w:rFonts w:ascii="Arial" w:eastAsia="Times New Roman" w:hAnsi="Arial" w:cs="Arial"/>
          <w:kern w:val="0"/>
          <w:sz w:val="22"/>
          <w:szCs w:val="22"/>
          <w14:ligatures w14:val="none"/>
        </w:rPr>
        <w:t xml:space="preserve"> Les achats ont été l’un des principaux moteurs de la création de Mehler Systems Asia.</w:t>
      </w:r>
    </w:p>
    <w:p w14:paraId="3525C324"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0F5B7AF6"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Les chaînes d’approvisionnement mondiales sont devenues beaucoup plus complexes, tandis que l’innovation, les capacités de production et les nouvelles technologies émergent de plus en plus en dehors du paysage traditionnel des fournisseurs européens.</w:t>
      </w:r>
    </w:p>
    <w:p w14:paraId="3EC4287E"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4388F26E"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Pour rester compétitifs, les achats doivent être présents là où se développent les technologies de demain, les capacités des fournisseurs et les écosystèmes d’innovation.</w:t>
      </w:r>
    </w:p>
    <w:p w14:paraId="1B3E03A0"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77C92F3D"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lastRenderedPageBreak/>
        <w:t>L’objectif de Mehler Systems Asia n’est pas simplement de renforcer les activités d’approvisionnement. Il s’agit de mettre en relation les réseaux d’approvisionnement mondiaux avec l’expertise des marchés et des fournisseurs locaux, de bâtir des relations plus étroites avec les partenaires clés, d’accélérer les cycles de développement, d’accroître la transparence tout au long de la chaîne de valeur et d’améliorer la résilience de la chaîne d’approvisionnement.</w:t>
      </w:r>
    </w:p>
    <w:p w14:paraId="5519F671"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7C2629B9"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Dans le même temps, toutes les activités d’approvisionnement restent conformes aux normes mondiales de Mehler Systems en matière de qualité, de conformité et de performance. À bien des égards, Mehler Systems Asia représente la prochaine étape dans l’évolution des achats : passer de la gestion des fournisseurs à la construction d’écosystèmes mondiaux de partenaires de confiance.</w:t>
      </w:r>
    </w:p>
    <w:p w14:paraId="655D99C2"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5F1B9411"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Q : Les grands programmes de défense imposent des exigences très différentes aux achats. Que faut-il pour accompagner des programmes tels que MOBAST ou le programme Ukraine ?</w:t>
      </w:r>
    </w:p>
    <w:p w14:paraId="400C45BD"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R :</w:t>
      </w:r>
      <w:r w:rsidRPr="00A05157">
        <w:rPr>
          <w:rFonts w:ascii="Arial" w:eastAsia="Times New Roman" w:hAnsi="Arial" w:cs="Arial"/>
          <w:kern w:val="0"/>
          <w:sz w:val="22"/>
          <w:szCs w:val="22"/>
          <w14:ligatures w14:val="none"/>
        </w:rPr>
        <w:t xml:space="preserve"> Chaque programme nécessite une stratégie d’achats différente.</w:t>
      </w:r>
    </w:p>
    <w:p w14:paraId="0D9F2621"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31DC3D47"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Les programmes de longue durée comme MOBAST exigent de la stabilité, une planification des capacités, une gestion du cycle de vie et des relations résilientes avec les fournisseurs, capables de maintenir une qualité constante pendant de nombreuses années malgré l’évolution des conditions du marché.</w:t>
      </w:r>
    </w:p>
    <w:p w14:paraId="1CB48F20"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6927898F"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Le programme Ukraine nécessitait une approche différente. Il a démontré toute la force de l’approche One Mehler, les achats coordonnant les fournisseurs, les capacités de production, la logistique et l’allocation des matériaux entre plusieurs unités opérationnelles dans des délais très serrés.</w:t>
      </w:r>
    </w:p>
    <w:p w14:paraId="140A0530"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2CD518B4"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Qu’il s’agisse d’accompagner des programmes de longue durée ou des projets nécessitant une réponse rapide, le dénominateur commun reste le même : des partenariats de confiance, de la transparence, une gestion proactive des risques et des écosystèmes fournisseurs résilients.</w:t>
      </w:r>
    </w:p>
    <w:p w14:paraId="409471E8"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06217E7F"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Le succès ne repose pas sur des transactions à court terme, mais sur des relations de confiance qui se construisent et se renforcent au fil des ans.</w:t>
      </w:r>
    </w:p>
    <w:p w14:paraId="4DFE7E17"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lastRenderedPageBreak/>
        <w:t>Q : Les clients du secteur de la défense attendent des livraisons rapides sans compromis sur la qualité. Comment conciliez-vous rapidité, disponibilité et fiabilité ?</w:t>
      </w:r>
    </w:p>
    <w:p w14:paraId="37381BC9"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R :</w:t>
      </w:r>
      <w:r w:rsidRPr="00A05157">
        <w:rPr>
          <w:rFonts w:ascii="Arial" w:eastAsia="Times New Roman" w:hAnsi="Arial" w:cs="Arial"/>
          <w:kern w:val="0"/>
          <w:sz w:val="22"/>
          <w:szCs w:val="22"/>
          <w14:ligatures w14:val="none"/>
        </w:rPr>
        <w:t xml:space="preserve"> La rapidité sans la qualité crée du risque, tandis que la qualité sans disponibilité crée des difficultés opérationnelles. L’objectif est donc d’atteindre les trois en même temps.</w:t>
      </w:r>
    </w:p>
    <w:p w14:paraId="26AC22DE"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7E8EC947"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Nous y parvenons grâce à une gestion proactive des risques, à des stratégies d’approvisionnement diversifiées, à des accords-cadres et à des partenariats à long terme avec les fournisseurs.</w:t>
      </w:r>
    </w:p>
    <w:p w14:paraId="220876EE"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46CCB223"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La transparence tout au long de la chaîne de valeur est tout aussi essentielle. Comprendre les technologies de production, les capacités industrielles, les interconnexions entre fournisseurs et les dépendances liées aux matériaux nous permet d’identifier les risques suffisamment tôt, de prendre des décisions plus rapidement et de réagir efficacement lorsque les conditions du marché évoluent.</w:t>
      </w:r>
    </w:p>
    <w:p w14:paraId="2FFF0210"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35DAC09B"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Les capacités d’approvisionnement régionales renforcent encore cette réactivité en nous rapprochant des fournisseurs, des technologies et des marchés où se développent les innovations, tout en maintenant des normes de qualité cohérentes à l’échelle mondiale.</w:t>
      </w:r>
    </w:p>
    <w:p w14:paraId="20B73BA4"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241BD69F"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Q : À l’avenir, quel sera le principal défi pour les achats dans l’industrie de la défense ?</w:t>
      </w:r>
    </w:p>
    <w:p w14:paraId="5B056335"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t>R :</w:t>
      </w:r>
      <w:r w:rsidRPr="00A05157">
        <w:rPr>
          <w:rFonts w:ascii="Arial" w:eastAsia="Times New Roman" w:hAnsi="Arial" w:cs="Arial"/>
          <w:kern w:val="0"/>
          <w:sz w:val="22"/>
          <w:szCs w:val="22"/>
          <w14:ligatures w14:val="none"/>
        </w:rPr>
        <w:t xml:space="preserve"> Le principal défi consistera à concilier simultanément résilience, innovation, souveraineté, évolutivité et compétitivité.</w:t>
      </w:r>
    </w:p>
    <w:p w14:paraId="7E1F6B45"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78BBD319"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Les achats continueront d’évoluer, passant d’une fonction transactionnelle à un véritable levier stratégique de la réussite de l’entreprise. Notre responsabilité va au-delà de la gestion des fournisseurs. Nous construisons des écosystèmes de partenaires de confiance, sécurisons les technologies critiques et créons des chaînes d’approvisionnement résilientes capables de soutenir la croissance future.</w:t>
      </w:r>
    </w:p>
    <w:p w14:paraId="7440282D"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589E6708"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En définitive, la réussite des achats dans le secteur de la défense ne se mesure pas à l’aune de transactions individuelles, mais à la capacité de mettre en relation les réseaux d’approvisionnement mondiaux avec l’expertise des marchés et des fournisseurs locaux, afin de garantir que les capacités critiques restent disponibles, évolutives et résilientes au moment où elles sont le plus nécessaires.</w:t>
      </w:r>
    </w:p>
    <w:p w14:paraId="4FE38EF9"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lastRenderedPageBreak/>
        <w:t>« Agir à l’échelle mondiale – penser au niveau local » est donc bien plus qu’une stratégie d’approvisionnement. C’est le fondement de partenariats durables, de l’innovation, de la résilience et de la création de valeur à long terme au sein de l’ensemble de l’écosystème Mehler Systems.</w:t>
      </w:r>
    </w:p>
    <w:p w14:paraId="5ABFC886"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67F0C3F7" w14:textId="77777777" w:rsidR="00A05157" w:rsidRPr="00A05157" w:rsidRDefault="00A05157" w:rsidP="00A05157">
      <w:pPr>
        <w:spacing w:after="0" w:line="360" w:lineRule="auto"/>
        <w:jc w:val="both"/>
        <w:outlineLvl w:val="2"/>
        <w:rPr>
          <w:rFonts w:ascii="Arial" w:eastAsia="Times New Roman" w:hAnsi="Arial" w:cs="Arial"/>
          <w:b/>
          <w:bCs/>
          <w:kern w:val="0"/>
          <w:sz w:val="22"/>
          <w:szCs w:val="22"/>
          <w14:ligatures w14:val="none"/>
        </w:rPr>
      </w:pPr>
      <w:r w:rsidRPr="00A05157">
        <w:rPr>
          <w:rFonts w:ascii="Arial" w:eastAsia="Times New Roman" w:hAnsi="Arial" w:cs="Arial"/>
          <w:b/>
          <w:bCs/>
          <w:kern w:val="0"/>
          <w:sz w:val="22"/>
          <w:szCs w:val="22"/>
          <w14:ligatures w14:val="none"/>
        </w:rPr>
        <w:t>À propos d’Andreas Kiel :</w:t>
      </w:r>
    </w:p>
    <w:p w14:paraId="1A9ACEF2" w14:textId="77777777" w:rsid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Andreas Kiel est directeur des achats du groupe Mehler Systems, où il dirige les activités d’achats à l’échelle du groupe. Fort de plus de 20 ans d’expérience dans l’industrie de la défense, il est spécialisé dans les achats stratégiques, la gestion de la chaîne d’approvisionnement, l’industrialisation et l’approvisionnement mondial. Titulaire d’un diplôme en économie et d’un master spécialisé en gestion de la chaîne d’approvisionnement, Andreas Kiel a joué un rôle déterminant dans la mise en place de la chaîne d’approvisionnement mondiale de Mehler Systems, notamment dans le développement de partenariats stratégiques en Asie. En tant que membre du conseil d’administration de Mehler Systems Asia, il soutient la stratégie internationale d’approvisionnement du groupe tout en renforçant les partenariats avec les fournisseurs et les capacités d’achats dans la région APAC.</w:t>
      </w:r>
    </w:p>
    <w:p w14:paraId="6A874863"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4001E930"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i/>
          <w:iCs/>
          <w:kern w:val="0"/>
          <w:sz w:val="22"/>
          <w:szCs w:val="22"/>
          <w14:ligatures w14:val="none"/>
        </w:rPr>
        <w:t>À propos de Mehler Systems :</w:t>
      </w:r>
    </w:p>
    <w:p w14:paraId="245BB706" w14:textId="77777777" w:rsidR="00A05157" w:rsidRDefault="00A05157" w:rsidP="00A05157">
      <w:pPr>
        <w:spacing w:after="0" w:line="360" w:lineRule="auto"/>
        <w:jc w:val="both"/>
        <w:rPr>
          <w:rFonts w:ascii="Arial" w:eastAsia="Times New Roman" w:hAnsi="Arial" w:cs="Arial"/>
          <w:i/>
          <w:iCs/>
          <w:kern w:val="0"/>
          <w:sz w:val="22"/>
          <w:szCs w:val="22"/>
          <w14:ligatures w14:val="none"/>
        </w:rPr>
      </w:pPr>
      <w:r w:rsidRPr="00A05157">
        <w:rPr>
          <w:rFonts w:ascii="Arial" w:eastAsia="Times New Roman" w:hAnsi="Arial" w:cs="Arial"/>
          <w:i/>
          <w:iCs/>
          <w:kern w:val="0"/>
          <w:sz w:val="22"/>
          <w:szCs w:val="22"/>
          <w14:ligatures w14:val="none"/>
        </w:rPr>
        <w:t>Mehler Systems Group est un leader international et mondial qui se consacre à la production de protections balistiques exceptionnelles et de solutions d’équipements tactiques pour les forces de l’ordre, les forces armées et les forces spéciales.</w:t>
      </w:r>
    </w:p>
    <w:p w14:paraId="529B660F"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6D8919D3" w14:textId="77777777" w:rsidR="00A05157" w:rsidRDefault="00A05157" w:rsidP="00A05157">
      <w:pPr>
        <w:spacing w:after="0" w:line="360" w:lineRule="auto"/>
        <w:jc w:val="both"/>
        <w:rPr>
          <w:rFonts w:ascii="Arial" w:eastAsia="Times New Roman" w:hAnsi="Arial" w:cs="Arial"/>
          <w:i/>
          <w:iCs/>
          <w:kern w:val="0"/>
          <w:sz w:val="22"/>
          <w:szCs w:val="22"/>
          <w14:ligatures w14:val="none"/>
        </w:rPr>
      </w:pPr>
      <w:r w:rsidRPr="00A05157">
        <w:rPr>
          <w:rFonts w:ascii="Arial" w:eastAsia="Times New Roman" w:hAnsi="Arial" w:cs="Arial"/>
          <w:i/>
          <w:iCs/>
          <w:kern w:val="0"/>
          <w:sz w:val="22"/>
          <w:szCs w:val="22"/>
          <w14:ligatures w14:val="none"/>
        </w:rPr>
        <w:t>Le groupe inclut les marques Mehler Protection, Lindnerhof et UF PRO. Mehler Protection s’est fait une renommée pour ses solutions de protection blindée individuelle et de plateforme, UF PRO est une entreprise spécialisée dans les systèmes de vêtements tactiques haut de gamme, tandis que Lindnerhof se distingue par ses solutions de transport et ses équipements tactiques innovants.</w:t>
      </w:r>
    </w:p>
    <w:p w14:paraId="5F589F82"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3FB099C8" w14:textId="77777777" w:rsidR="00A05157" w:rsidRDefault="00A05157" w:rsidP="00A05157">
      <w:pPr>
        <w:spacing w:after="0" w:line="360" w:lineRule="auto"/>
        <w:jc w:val="both"/>
        <w:rPr>
          <w:rFonts w:ascii="Arial" w:eastAsia="Times New Roman" w:hAnsi="Arial" w:cs="Arial"/>
          <w:i/>
          <w:iCs/>
          <w:kern w:val="0"/>
          <w:sz w:val="22"/>
          <w:szCs w:val="22"/>
          <w14:ligatures w14:val="none"/>
        </w:rPr>
      </w:pPr>
      <w:r w:rsidRPr="00A05157">
        <w:rPr>
          <w:rFonts w:ascii="Arial" w:eastAsia="Times New Roman" w:hAnsi="Arial" w:cs="Arial"/>
          <w:i/>
          <w:iCs/>
          <w:kern w:val="0"/>
          <w:sz w:val="22"/>
          <w:szCs w:val="22"/>
          <w14:ligatures w14:val="none"/>
        </w:rPr>
        <w:t xml:space="preserve">Avec une présence dans plus de 40 pays, Mehler Systems a su s’imposer comme un leader, reconnu pour son innovation et son engagement à mettre la barre toujours plus haut dans son secteur au cours des quatre dernières décennies. Pour plus d’informations sur Mehler Systems, veuillez consulter </w:t>
      </w:r>
      <w:hyperlink r:id="rId4" w:history="1">
        <w:r w:rsidRPr="00A05157">
          <w:rPr>
            <w:rFonts w:ascii="Arial" w:eastAsia="Times New Roman" w:hAnsi="Arial" w:cs="Arial"/>
            <w:i/>
            <w:iCs/>
            <w:color w:val="0000FF"/>
            <w:kern w:val="0"/>
            <w:sz w:val="22"/>
            <w:szCs w:val="22"/>
            <w:u w:val="single"/>
            <w14:ligatures w14:val="none"/>
          </w:rPr>
          <w:t>mehler-systems.com</w:t>
        </w:r>
      </w:hyperlink>
    </w:p>
    <w:p w14:paraId="2F555F7A" w14:textId="77777777" w:rsidR="00A05157" w:rsidRDefault="00A05157" w:rsidP="00A05157">
      <w:pPr>
        <w:spacing w:after="0" w:line="360" w:lineRule="auto"/>
        <w:jc w:val="both"/>
        <w:rPr>
          <w:rFonts w:ascii="Arial" w:eastAsia="Times New Roman" w:hAnsi="Arial" w:cs="Arial"/>
          <w:i/>
          <w:iCs/>
          <w:kern w:val="0"/>
          <w:sz w:val="22"/>
          <w:szCs w:val="22"/>
          <w14:ligatures w14:val="none"/>
        </w:rPr>
      </w:pPr>
    </w:p>
    <w:p w14:paraId="232C2F03"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p>
    <w:p w14:paraId="7508574F"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b/>
          <w:bCs/>
          <w:kern w:val="0"/>
          <w:sz w:val="22"/>
          <w:szCs w:val="22"/>
          <w14:ligatures w14:val="none"/>
        </w:rPr>
        <w:lastRenderedPageBreak/>
        <w:t>Contact médias :</w:t>
      </w:r>
    </w:p>
    <w:p w14:paraId="5C0A60BE"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Marina Brankovič</w:t>
      </w:r>
    </w:p>
    <w:p w14:paraId="152E3A35"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r w:rsidRPr="00A05157">
        <w:rPr>
          <w:rFonts w:ascii="Arial" w:eastAsia="Times New Roman" w:hAnsi="Arial" w:cs="Arial"/>
          <w:kern w:val="0"/>
          <w:sz w:val="22"/>
          <w:szCs w:val="22"/>
          <w14:ligatures w14:val="none"/>
        </w:rPr>
        <w:t>Content Manager</w:t>
      </w:r>
    </w:p>
    <w:p w14:paraId="297BCD49" w14:textId="77777777" w:rsidR="00A05157" w:rsidRPr="00A05157" w:rsidRDefault="00A05157" w:rsidP="00A05157">
      <w:pPr>
        <w:spacing w:after="0" w:line="360" w:lineRule="auto"/>
        <w:jc w:val="both"/>
        <w:rPr>
          <w:rFonts w:ascii="Arial" w:eastAsia="Times New Roman" w:hAnsi="Arial" w:cs="Arial"/>
          <w:kern w:val="0"/>
          <w:sz w:val="22"/>
          <w:szCs w:val="22"/>
          <w14:ligatures w14:val="none"/>
        </w:rPr>
      </w:pPr>
      <w:hyperlink r:id="rId5" w:history="1">
        <w:r w:rsidRPr="00A05157">
          <w:rPr>
            <w:rFonts w:ascii="Arial" w:eastAsia="Times New Roman" w:hAnsi="Arial" w:cs="Arial"/>
            <w:color w:val="0000FF"/>
            <w:kern w:val="0"/>
            <w:sz w:val="22"/>
            <w:szCs w:val="22"/>
            <w:u w:val="single"/>
            <w14:ligatures w14:val="none"/>
          </w:rPr>
          <w:t>marina.brankovic@ufpro.si</w:t>
        </w:r>
      </w:hyperlink>
    </w:p>
    <w:p w14:paraId="1BBD27B4" w14:textId="77777777" w:rsidR="00A57860" w:rsidRPr="00A05157" w:rsidRDefault="00A57860" w:rsidP="00A05157">
      <w:pPr>
        <w:spacing w:after="0" w:line="360" w:lineRule="auto"/>
        <w:jc w:val="both"/>
        <w:rPr>
          <w:rFonts w:ascii="Arial" w:hAnsi="Arial" w:cs="Arial"/>
          <w:sz w:val="22"/>
          <w:szCs w:val="22"/>
        </w:rPr>
      </w:pPr>
    </w:p>
    <w:sectPr w:rsidR="00A57860" w:rsidRPr="00A0515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157"/>
    <w:rsid w:val="00A05157"/>
    <w:rsid w:val="00A57860"/>
    <w:rsid w:val="00C73D97"/>
    <w:rsid w:val="00CC2A46"/>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decimalSymbol w:val=","/>
  <w:listSeparator w:val=","/>
  <w14:docId w14:val="02293C1F"/>
  <w15:chartTrackingRefBased/>
  <w15:docId w15:val="{0CB8146F-2946-0745-9FDE-4473BC840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51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51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051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51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51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51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51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51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51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1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51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051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51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51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51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51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51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5157"/>
    <w:rPr>
      <w:rFonts w:eastAsiaTheme="majorEastAsia" w:cstheme="majorBidi"/>
      <w:color w:val="272727" w:themeColor="text1" w:themeTint="D8"/>
    </w:rPr>
  </w:style>
  <w:style w:type="paragraph" w:styleId="Title">
    <w:name w:val="Title"/>
    <w:basedOn w:val="Normal"/>
    <w:next w:val="Normal"/>
    <w:link w:val="TitleChar"/>
    <w:uiPriority w:val="10"/>
    <w:qFormat/>
    <w:rsid w:val="00A051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51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51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51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5157"/>
    <w:pPr>
      <w:spacing w:before="160"/>
      <w:jc w:val="center"/>
    </w:pPr>
    <w:rPr>
      <w:i/>
      <w:iCs/>
      <w:color w:val="404040" w:themeColor="text1" w:themeTint="BF"/>
    </w:rPr>
  </w:style>
  <w:style w:type="character" w:customStyle="1" w:styleId="QuoteChar">
    <w:name w:val="Quote Char"/>
    <w:basedOn w:val="DefaultParagraphFont"/>
    <w:link w:val="Quote"/>
    <w:uiPriority w:val="29"/>
    <w:rsid w:val="00A05157"/>
    <w:rPr>
      <w:i/>
      <w:iCs/>
      <w:color w:val="404040" w:themeColor="text1" w:themeTint="BF"/>
    </w:rPr>
  </w:style>
  <w:style w:type="paragraph" w:styleId="ListParagraph">
    <w:name w:val="List Paragraph"/>
    <w:basedOn w:val="Normal"/>
    <w:uiPriority w:val="34"/>
    <w:qFormat/>
    <w:rsid w:val="00A05157"/>
    <w:pPr>
      <w:ind w:left="720"/>
      <w:contextualSpacing/>
    </w:pPr>
  </w:style>
  <w:style w:type="character" w:styleId="IntenseEmphasis">
    <w:name w:val="Intense Emphasis"/>
    <w:basedOn w:val="DefaultParagraphFont"/>
    <w:uiPriority w:val="21"/>
    <w:qFormat/>
    <w:rsid w:val="00A05157"/>
    <w:rPr>
      <w:i/>
      <w:iCs/>
      <w:color w:val="0F4761" w:themeColor="accent1" w:themeShade="BF"/>
    </w:rPr>
  </w:style>
  <w:style w:type="paragraph" w:styleId="IntenseQuote">
    <w:name w:val="Intense Quote"/>
    <w:basedOn w:val="Normal"/>
    <w:next w:val="Normal"/>
    <w:link w:val="IntenseQuoteChar"/>
    <w:uiPriority w:val="30"/>
    <w:qFormat/>
    <w:rsid w:val="00A051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5157"/>
    <w:rPr>
      <w:i/>
      <w:iCs/>
      <w:color w:val="0F4761" w:themeColor="accent1" w:themeShade="BF"/>
    </w:rPr>
  </w:style>
  <w:style w:type="character" w:styleId="IntenseReference">
    <w:name w:val="Intense Reference"/>
    <w:basedOn w:val="DefaultParagraphFont"/>
    <w:uiPriority w:val="32"/>
    <w:qFormat/>
    <w:rsid w:val="00A05157"/>
    <w:rPr>
      <w:b/>
      <w:bCs/>
      <w:smallCaps/>
      <w:color w:val="0F4761" w:themeColor="accent1" w:themeShade="BF"/>
      <w:spacing w:val="5"/>
    </w:rPr>
  </w:style>
  <w:style w:type="paragraph" w:styleId="NormalWeb">
    <w:name w:val="Normal (Web)"/>
    <w:basedOn w:val="Normal"/>
    <w:uiPriority w:val="99"/>
    <w:semiHidden/>
    <w:unhideWhenUsed/>
    <w:rsid w:val="00A0515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A05157"/>
    <w:rPr>
      <w:b/>
      <w:bCs/>
    </w:rPr>
  </w:style>
  <w:style w:type="character" w:styleId="Emphasis">
    <w:name w:val="Emphasis"/>
    <w:basedOn w:val="DefaultParagraphFont"/>
    <w:uiPriority w:val="20"/>
    <w:qFormat/>
    <w:rsid w:val="00A05157"/>
    <w:rPr>
      <w:i/>
      <w:iCs/>
    </w:rPr>
  </w:style>
  <w:style w:type="character" w:styleId="Hyperlink">
    <w:name w:val="Hyperlink"/>
    <w:basedOn w:val="DefaultParagraphFont"/>
    <w:uiPriority w:val="99"/>
    <w:semiHidden/>
    <w:unhideWhenUsed/>
    <w:rsid w:val="00A051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arina.brankovic@ufpro.si" TargetMode="External"/><Relationship Id="rId4" Type="http://schemas.openxmlformats.org/officeDocument/2006/relationships/hyperlink" Target="https://mehler-systems.com/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2285</Words>
  <Characters>13026</Characters>
  <Application>Microsoft Office Word</Application>
  <DocSecurity>0</DocSecurity>
  <Lines>108</Lines>
  <Paragraphs>30</Paragraphs>
  <ScaleCrop>false</ScaleCrop>
  <Company/>
  <LinksUpToDate>false</LinksUpToDate>
  <CharactersWithSpaces>15281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1</cp:revision>
  <dcterms:created xsi:type="dcterms:W3CDTF">2026-09-18T07:20:00Z</dcterms:created>
  <dcterms:modified xsi:type="dcterms:W3CDTF">2026-09-18T07:23:00Z</dcterms:modified>
</cp:coreProperties>
</file>