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879A3" w14:textId="77777777" w:rsidR="00C93015" w:rsidRDefault="00C93015" w:rsidP="00C93015">
      <w:pPr>
        <w:spacing w:after="0" w:line="360" w:lineRule="auto"/>
        <w:jc w:val="both"/>
        <w:outlineLvl w:val="0"/>
        <w:rPr>
          <w:rFonts w:ascii="Arial" w:eastAsia="Times New Roman" w:hAnsi="Arial" w:cs="Arial"/>
          <w:b/>
          <w:bCs/>
          <w:kern w:val="36"/>
          <w:sz w:val="22"/>
          <w:szCs w:val="22"/>
          <w14:ligatures w14:val="none"/>
        </w:rPr>
      </w:pPr>
      <w:r w:rsidRPr="00C93015">
        <w:rPr>
          <w:rFonts w:ascii="Arial" w:eastAsia="Times New Roman" w:hAnsi="Arial" w:cs="Arial"/>
          <w:b/>
          <w:bCs/>
          <w:kern w:val="36"/>
          <w:sz w:val="22"/>
          <w:szCs w:val="22"/>
          <w14:ligatures w14:val="none"/>
        </w:rPr>
        <w:t>Craig International Ballistics wird offiziell Teil der Mehler Systems Gruppe</w:t>
      </w:r>
    </w:p>
    <w:p w14:paraId="622DF3E9" w14:textId="77777777" w:rsidR="00C93015" w:rsidRPr="00C93015" w:rsidRDefault="00C93015" w:rsidP="00C93015">
      <w:pPr>
        <w:spacing w:after="0" w:line="360" w:lineRule="auto"/>
        <w:jc w:val="both"/>
        <w:outlineLvl w:val="0"/>
        <w:rPr>
          <w:rFonts w:ascii="Arial" w:eastAsia="Times New Roman" w:hAnsi="Arial" w:cs="Arial"/>
          <w:b/>
          <w:bCs/>
          <w:kern w:val="36"/>
          <w:sz w:val="22"/>
          <w:szCs w:val="22"/>
          <w14:ligatures w14:val="none"/>
        </w:rPr>
      </w:pPr>
    </w:p>
    <w:p w14:paraId="4B0F37C8" w14:textId="6317B9B1" w:rsidR="00C93015" w:rsidRDefault="00C93015" w:rsidP="00C93015">
      <w:pPr>
        <w:spacing w:after="0" w:line="360" w:lineRule="auto"/>
        <w:jc w:val="both"/>
        <w:rPr>
          <w:rFonts w:ascii="Arial" w:eastAsia="Times New Roman" w:hAnsi="Arial" w:cs="Arial"/>
          <w:b/>
          <w:bCs/>
          <w:kern w:val="0"/>
          <w:sz w:val="22"/>
          <w:szCs w:val="22"/>
          <w14:ligatures w14:val="none"/>
        </w:rPr>
      </w:pPr>
      <w:r w:rsidRPr="00C93015">
        <w:rPr>
          <w:rFonts w:ascii="Arial" w:eastAsia="Times New Roman" w:hAnsi="Arial" w:cs="Arial"/>
          <w:b/>
          <w:bCs/>
          <w:kern w:val="0"/>
          <w:sz w:val="22"/>
          <w:szCs w:val="22"/>
          <w14:ligatures w14:val="none"/>
        </w:rPr>
        <w:t>FULDA, DEUTSCHLAND, QUEENSLAND, AUSTRALIEN, 0</w:t>
      </w:r>
      <w:r>
        <w:rPr>
          <w:rFonts w:ascii="Arial" w:eastAsia="Times New Roman" w:hAnsi="Arial" w:cs="Arial"/>
          <w:b/>
          <w:bCs/>
          <w:kern w:val="0"/>
          <w:sz w:val="22"/>
          <w:szCs w:val="22"/>
          <w14:ligatures w14:val="none"/>
        </w:rPr>
        <w:t>6</w:t>
      </w:r>
      <w:r w:rsidRPr="00C93015">
        <w:rPr>
          <w:rFonts w:ascii="Arial" w:eastAsia="Times New Roman" w:hAnsi="Arial" w:cs="Arial"/>
          <w:b/>
          <w:bCs/>
          <w:kern w:val="0"/>
          <w:sz w:val="22"/>
          <w:szCs w:val="22"/>
          <w14:ligatures w14:val="none"/>
        </w:rPr>
        <w:t>. August 2026</w:t>
      </w:r>
    </w:p>
    <w:p w14:paraId="28D277E2"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21DBDE22"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 xml:space="preserve">Craig International Ballistics (CIB) ist nach dem erfolgreichen Abschluss der Übernahme einer Mehrheitsbeteiligung durch Mehler Systems offiziell der Mehler Systems Gruppe beigetreten. Die Transaktion wurde nach Erhalt der Genehmigung gemäß dem australischen </w:t>
      </w:r>
      <w:r w:rsidRPr="00C93015">
        <w:rPr>
          <w:rFonts w:ascii="Arial" w:eastAsia="Times New Roman" w:hAnsi="Arial" w:cs="Arial"/>
          <w:i/>
          <w:iCs/>
          <w:kern w:val="0"/>
          <w:sz w:val="22"/>
          <w:szCs w:val="22"/>
          <w14:ligatures w14:val="none"/>
        </w:rPr>
        <w:t>Foreign Acquisitions and Takeovers Act</w:t>
      </w:r>
      <w:r w:rsidRPr="00C93015">
        <w:rPr>
          <w:rFonts w:ascii="Arial" w:eastAsia="Times New Roman" w:hAnsi="Arial" w:cs="Arial"/>
          <w:kern w:val="0"/>
          <w:sz w:val="22"/>
          <w:szCs w:val="22"/>
          <w14:ligatures w14:val="none"/>
        </w:rPr>
        <w:t xml:space="preserve"> abgeschlossen.</w:t>
      </w:r>
    </w:p>
    <w:p w14:paraId="1D3AF51A"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0AE5761A"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Mit dem Abschluss der Übernahme beginnt für beide Unternehmen ein neues Kapitel. Craig International Ballistics wird weiterhin unter seiner etablierten Marke und der bestehenden lokalen Führung in Queensland, Australien, tätig sein und zugleich ein integraler Bestandteil der Mehler Systems Gruppe werden.</w:t>
      </w:r>
    </w:p>
    <w:p w14:paraId="301D346D"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1FF07C51"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Durch die Bündelung komplementärer Fachkompetenzen und den organisationsweiten Wissensaustausch strebt Mehler Systems an, die Entwicklung innovativer Schutzlösungen zu beschleunigen, operative Exzellenz weiter auszubauen und zusätzlichen Mehrwert für Kunden weltweit zu schaffen. Gleichzeitig wird Craig International Ballistics seine bestehenden Kunden weiterhin mit derselben lokalen Expertise, Reaktionsfähigkeit und dem Qualitätsanspruch betreuen, die das Unternehmen seit Jahrzehnten auszeichnen.</w:t>
      </w:r>
    </w:p>
    <w:p w14:paraId="6CCCB84E"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67DE0418"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„Die Aufnahme von Craig International Ballistics in die Mehler Systems Gruppe ist erst der Anfang“, sagte Dr. Mario Amschlinger, CEO von Mehler Systems. „Unser Fokus liegt nun darauf, die Stärken beider Organisationen zusammenzuführen, die Zusammenarbeit unserer Teams zu fördern und durch gemeinsames Know-how, Innovation und Kundenorientierung langfristigen Mehrwert zu schaffen. Wir setzen uns dafür ein, dass Craig International Ballistics die Eigenschaften bewahrt, die das Unternehmen erfolgreich gemacht haben, und gleichzeitig von den Chancen profitiert, die die Zugehörigkeit zu einer globalen Unternehmensgruppe bietet.“</w:t>
      </w:r>
    </w:p>
    <w:p w14:paraId="72C00B0E"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4B4FF04C"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Im Zuge der weiteren Integration wird Mehler Systems seine Strategie fortsetzen, starke regionale Kompetenzen mit globaler Expertise zu verbinden. Damit stärkt das Unternehmen seine Position als führender Anbieter ballistischer Schutz- und taktischer Lösungen für Streitkräfte, Strafverfolgungsbehörden und Sicherheitskräfte weltweit.</w:t>
      </w:r>
    </w:p>
    <w:p w14:paraId="3FADE909"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54C27CCF"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b/>
          <w:bCs/>
          <w:kern w:val="0"/>
          <w:sz w:val="22"/>
          <w:szCs w:val="22"/>
          <w14:ligatures w14:val="none"/>
        </w:rPr>
        <w:lastRenderedPageBreak/>
        <w:t>Über Mehler Systems:</w:t>
      </w:r>
    </w:p>
    <w:p w14:paraId="443AEBF0"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Die Mehler Systems ist eine weltweit führende Unternehmensgruppe für hochwertige ballistische Schutz- und taktische Ausrüstungslösungen für Strafverfolgungsbehörden, Militär und Spezialeinheiten.</w:t>
      </w:r>
    </w:p>
    <w:p w14:paraId="44207594"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237A2EC1"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Zur Mehler Systems Gruppe gehören die Marken Mehler Protection, Lindnerhof und UF PRO: Mehler Protection steht für leistungsfähige Körper- und Plattformschutzlösungen, UF PRO ist spezialisiert auf taktische Bekleidungssysteme der Spitzenklasse und Lindnerhof auf innovative Tragesysteme und taktische Ausrüstung.</w:t>
      </w:r>
    </w:p>
    <w:p w14:paraId="6ADDFBCB"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2160706A"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Mit einer Präsenz in über 40 Ländern hat sich Mehler Systems in den vergangenen vier Jahrzehnten als führender Anbieter etabliert, der mit Innovationskraft und konsequentem Engagement immer wieder neue Maßstäbe in der Branche setzt.</w:t>
      </w:r>
    </w:p>
    <w:p w14:paraId="7ADF948B"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0BC5653B"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 xml:space="preserve">Weitere Informationen über Mehler Systems finden Sie unter </w:t>
      </w:r>
      <w:hyperlink r:id="rId4" w:history="1">
        <w:r w:rsidRPr="00C93015">
          <w:rPr>
            <w:rFonts w:ascii="Arial" w:eastAsia="Times New Roman" w:hAnsi="Arial" w:cs="Arial"/>
            <w:color w:val="0000FF"/>
            <w:kern w:val="0"/>
            <w:sz w:val="22"/>
            <w:szCs w:val="22"/>
            <w:u w:val="single"/>
            <w14:ligatures w14:val="none"/>
          </w:rPr>
          <w:t>mehler-systems.com</w:t>
        </w:r>
      </w:hyperlink>
    </w:p>
    <w:p w14:paraId="6EA82001"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2EC9504B"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b/>
          <w:bCs/>
          <w:kern w:val="0"/>
          <w:sz w:val="22"/>
          <w:szCs w:val="22"/>
          <w14:ligatures w14:val="none"/>
        </w:rPr>
        <w:t>Über Craig International Ballistics:</w:t>
      </w:r>
    </w:p>
    <w:p w14:paraId="7C1A0823"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Craig International Ballistics wurde vor mehr als 25 Jahren gegründet und hat sich seitdem zu einem der führenden australischen Hersteller kampferprobter Schutzsysteme entwickelt. Als Hauptlieferant ballistischer Schutzausrüstung für die Australian Defence Force und wichtiger Anbieter von Schutzlösungen für Polizei- und Sicherheitsbehörden auf Bundes- und Bundesstaatenebene verfügt CIB über eine breite operative Basis in sicherheitskritischen Anwendungen.</w:t>
      </w:r>
    </w:p>
    <w:p w14:paraId="404067B0"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p>
    <w:p w14:paraId="0DB71E14" w14:textId="77777777" w:rsid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kern w:val="0"/>
          <w:sz w:val="22"/>
          <w:szCs w:val="22"/>
          <w14:ligatures w14:val="none"/>
        </w:rPr>
        <w:t xml:space="preserve">Das Portfolio des Unternehmens umfasst ein breites Spektrum an „build-to-print“-Panzerplatten aus UHMWPE und Verbundwerkstoffen für Fahrzeug-, Luftfahrt- und Marineanwendungen, ergänzt um persönliche Schutzausrüstung für militärische und behördliche Nutzer. Weitere Informationen zu CIB findest du unter </w:t>
      </w:r>
      <w:hyperlink r:id="rId5" w:history="1">
        <w:r w:rsidRPr="00C93015">
          <w:rPr>
            <w:rFonts w:ascii="Arial" w:eastAsia="Times New Roman" w:hAnsi="Arial" w:cs="Arial"/>
            <w:color w:val="0000FF"/>
            <w:kern w:val="0"/>
            <w:sz w:val="22"/>
            <w:szCs w:val="22"/>
            <w:u w:val="single"/>
            <w14:ligatures w14:val="none"/>
          </w:rPr>
          <w:t>ballistics.com.au</w:t>
        </w:r>
      </w:hyperlink>
      <w:r w:rsidRPr="00C93015">
        <w:rPr>
          <w:rFonts w:ascii="Arial" w:eastAsia="Times New Roman" w:hAnsi="Arial" w:cs="Arial"/>
          <w:kern w:val="0"/>
          <w:sz w:val="22"/>
          <w:szCs w:val="22"/>
          <w14:ligatures w14:val="none"/>
        </w:rPr>
        <w:t>.</w:t>
      </w:r>
    </w:p>
    <w:p w14:paraId="2BA5BA5D" w14:textId="77777777" w:rsidR="00C93015" w:rsidRDefault="00C93015" w:rsidP="00C93015">
      <w:pPr>
        <w:spacing w:after="0" w:line="360" w:lineRule="auto"/>
        <w:jc w:val="both"/>
        <w:rPr>
          <w:rFonts w:ascii="Arial" w:eastAsia="Times New Roman" w:hAnsi="Arial" w:cs="Arial"/>
          <w:kern w:val="0"/>
          <w:sz w:val="22"/>
          <w:szCs w:val="22"/>
          <w14:ligatures w14:val="none"/>
        </w:rPr>
      </w:pPr>
    </w:p>
    <w:p w14:paraId="5B4175E0" w14:textId="4FC09F22" w:rsidR="00C93015" w:rsidRP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b/>
          <w:bCs/>
          <w:i/>
          <w:iCs/>
          <w:kern w:val="0"/>
          <w:sz w:val="22"/>
          <w:szCs w:val="22"/>
          <w14:ligatures w14:val="none"/>
        </w:rPr>
        <w:t>Medienkontakt:</w:t>
      </w:r>
    </w:p>
    <w:p w14:paraId="7953EEE9"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i/>
          <w:iCs/>
          <w:kern w:val="0"/>
          <w:sz w:val="22"/>
          <w:szCs w:val="22"/>
          <w14:ligatures w14:val="none"/>
        </w:rPr>
        <w:t>Marina Brankovič</w:t>
      </w:r>
    </w:p>
    <w:p w14:paraId="24014700"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r w:rsidRPr="00C93015">
        <w:rPr>
          <w:rFonts w:ascii="Arial" w:eastAsia="Times New Roman" w:hAnsi="Arial" w:cs="Arial"/>
          <w:i/>
          <w:iCs/>
          <w:kern w:val="0"/>
          <w:sz w:val="22"/>
          <w:szCs w:val="22"/>
          <w14:ligatures w14:val="none"/>
        </w:rPr>
        <w:t>Content Manager</w:t>
      </w:r>
    </w:p>
    <w:p w14:paraId="600D831F" w14:textId="77777777" w:rsidR="00C93015" w:rsidRPr="00C93015" w:rsidRDefault="00C93015" w:rsidP="00C93015">
      <w:pPr>
        <w:spacing w:after="0" w:line="360" w:lineRule="auto"/>
        <w:jc w:val="both"/>
        <w:rPr>
          <w:rFonts w:ascii="Arial" w:eastAsia="Times New Roman" w:hAnsi="Arial" w:cs="Arial"/>
          <w:kern w:val="0"/>
          <w:sz w:val="22"/>
          <w:szCs w:val="22"/>
          <w14:ligatures w14:val="none"/>
        </w:rPr>
      </w:pPr>
      <w:hyperlink r:id="rId6" w:history="1">
        <w:r w:rsidRPr="00C93015">
          <w:rPr>
            <w:rFonts w:ascii="Arial" w:eastAsia="Times New Roman" w:hAnsi="Arial" w:cs="Arial"/>
            <w:i/>
            <w:iCs/>
            <w:kern w:val="0"/>
            <w:sz w:val="22"/>
            <w:szCs w:val="22"/>
            <w14:ligatures w14:val="none"/>
          </w:rPr>
          <w:t>marina.brankovic@ufpro.si</w:t>
        </w:r>
      </w:hyperlink>
    </w:p>
    <w:p w14:paraId="6943FE4D" w14:textId="77777777" w:rsidR="00A57860" w:rsidRPr="00C93015" w:rsidRDefault="00A57860" w:rsidP="00C93015">
      <w:pPr>
        <w:spacing w:after="0" w:line="360" w:lineRule="auto"/>
        <w:jc w:val="both"/>
        <w:rPr>
          <w:rFonts w:ascii="Arial" w:hAnsi="Arial" w:cs="Arial"/>
          <w:sz w:val="22"/>
          <w:szCs w:val="22"/>
        </w:rPr>
      </w:pPr>
    </w:p>
    <w:sectPr w:rsidR="00A57860" w:rsidRPr="00C930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15"/>
    <w:rsid w:val="002A58A2"/>
    <w:rsid w:val="00A57860"/>
    <w:rsid w:val="00C93015"/>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1C95F61B"/>
  <w15:chartTrackingRefBased/>
  <w15:docId w15:val="{2857D718-8D5E-FC4E-AFA4-639A2C75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015"/>
    <w:rPr>
      <w:rFonts w:eastAsiaTheme="majorEastAsia" w:cstheme="majorBidi"/>
      <w:color w:val="272727" w:themeColor="text1" w:themeTint="D8"/>
    </w:rPr>
  </w:style>
  <w:style w:type="paragraph" w:styleId="Title">
    <w:name w:val="Title"/>
    <w:basedOn w:val="Normal"/>
    <w:next w:val="Normal"/>
    <w:link w:val="TitleChar"/>
    <w:uiPriority w:val="10"/>
    <w:qFormat/>
    <w:rsid w:val="00C93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015"/>
    <w:pPr>
      <w:spacing w:before="160"/>
      <w:jc w:val="center"/>
    </w:pPr>
    <w:rPr>
      <w:i/>
      <w:iCs/>
      <w:color w:val="404040" w:themeColor="text1" w:themeTint="BF"/>
    </w:rPr>
  </w:style>
  <w:style w:type="character" w:customStyle="1" w:styleId="QuoteChar">
    <w:name w:val="Quote Char"/>
    <w:basedOn w:val="DefaultParagraphFont"/>
    <w:link w:val="Quote"/>
    <w:uiPriority w:val="29"/>
    <w:rsid w:val="00C93015"/>
    <w:rPr>
      <w:i/>
      <w:iCs/>
      <w:color w:val="404040" w:themeColor="text1" w:themeTint="BF"/>
    </w:rPr>
  </w:style>
  <w:style w:type="paragraph" w:styleId="ListParagraph">
    <w:name w:val="List Paragraph"/>
    <w:basedOn w:val="Normal"/>
    <w:uiPriority w:val="34"/>
    <w:qFormat/>
    <w:rsid w:val="00C93015"/>
    <w:pPr>
      <w:ind w:left="720"/>
      <w:contextualSpacing/>
    </w:pPr>
  </w:style>
  <w:style w:type="character" w:styleId="IntenseEmphasis">
    <w:name w:val="Intense Emphasis"/>
    <w:basedOn w:val="DefaultParagraphFont"/>
    <w:uiPriority w:val="21"/>
    <w:qFormat/>
    <w:rsid w:val="00C93015"/>
    <w:rPr>
      <w:i/>
      <w:iCs/>
      <w:color w:val="0F4761" w:themeColor="accent1" w:themeShade="BF"/>
    </w:rPr>
  </w:style>
  <w:style w:type="paragraph" w:styleId="IntenseQuote">
    <w:name w:val="Intense Quote"/>
    <w:basedOn w:val="Normal"/>
    <w:next w:val="Normal"/>
    <w:link w:val="IntenseQuoteChar"/>
    <w:uiPriority w:val="30"/>
    <w:qFormat/>
    <w:rsid w:val="00C93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015"/>
    <w:rPr>
      <w:i/>
      <w:iCs/>
      <w:color w:val="0F4761" w:themeColor="accent1" w:themeShade="BF"/>
    </w:rPr>
  </w:style>
  <w:style w:type="character" w:styleId="IntenseReference">
    <w:name w:val="Intense Reference"/>
    <w:basedOn w:val="DefaultParagraphFont"/>
    <w:uiPriority w:val="32"/>
    <w:qFormat/>
    <w:rsid w:val="00C93015"/>
    <w:rPr>
      <w:b/>
      <w:bCs/>
      <w:smallCaps/>
      <w:color w:val="0F4761" w:themeColor="accent1" w:themeShade="BF"/>
      <w:spacing w:val="5"/>
    </w:rPr>
  </w:style>
  <w:style w:type="paragraph" w:styleId="NormalWeb">
    <w:name w:val="Normal (Web)"/>
    <w:basedOn w:val="Normal"/>
    <w:uiPriority w:val="99"/>
    <w:semiHidden/>
    <w:unhideWhenUsed/>
    <w:rsid w:val="00C9301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93015"/>
    <w:rPr>
      <w:b/>
      <w:bCs/>
    </w:rPr>
  </w:style>
  <w:style w:type="character" w:styleId="Emphasis">
    <w:name w:val="Emphasis"/>
    <w:basedOn w:val="DefaultParagraphFont"/>
    <w:uiPriority w:val="20"/>
    <w:qFormat/>
    <w:rsid w:val="00C93015"/>
    <w:rPr>
      <w:i/>
      <w:iCs/>
    </w:rPr>
  </w:style>
  <w:style w:type="character" w:styleId="Hyperlink">
    <w:name w:val="Hyperlink"/>
    <w:basedOn w:val="DefaultParagraphFont"/>
    <w:uiPriority w:val="99"/>
    <w:semiHidden/>
    <w:unhideWhenUsed/>
    <w:rsid w:val="00C93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na.brankovic@ufpro.si" TargetMode="External"/><Relationship Id="rId5" Type="http://schemas.openxmlformats.org/officeDocument/2006/relationships/hyperlink" Target="http://ballistics.com.au" TargetMode="External"/><Relationship Id="rId4" Type="http://schemas.openxmlformats.org/officeDocument/2006/relationships/hyperlink" Target="http://mehler-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3491</Characters>
  <Application>Microsoft Office Word</Application>
  <DocSecurity>0</DocSecurity>
  <Lines>29</Lines>
  <Paragraphs>8</Paragraphs>
  <ScaleCrop>false</ScaleCrop>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2026-08-06T07:52:00Z</dcterms:created>
  <dcterms:modified xsi:type="dcterms:W3CDTF">2026-08-06T07:53:00Z</dcterms:modified>
</cp:coreProperties>
</file>