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D6FA6" w14:textId="77777777" w:rsidR="00CC44EB" w:rsidRPr="00947722" w:rsidRDefault="00CC44EB" w:rsidP="00947722">
      <w:pPr>
        <w:spacing w:after="0" w:line="360" w:lineRule="auto"/>
        <w:jc w:val="both"/>
        <w:outlineLvl w:val="0"/>
        <w:rPr>
          <w:rFonts w:ascii="Arial" w:eastAsia="Times New Roman" w:hAnsi="Arial" w:cs="Arial"/>
          <w:b/>
          <w:bCs/>
          <w:kern w:val="36"/>
          <w:sz w:val="22"/>
          <w:szCs w:val="22"/>
          <w14:ligatures w14:val="none"/>
        </w:rPr>
      </w:pPr>
      <w:r w:rsidRPr="00947722">
        <w:rPr>
          <w:rFonts w:ascii="Arial" w:hAnsi="Arial" w:cs="Arial"/>
          <w:b/>
          <w:sz w:val="22"/>
          <w:szCs w:val="22"/>
        </w:rPr>
        <w:t>Mehler Protection aux salons DSA 2026 et Milipol TechX Asia 2026</w:t>
      </w:r>
    </w:p>
    <w:p w14:paraId="37FE6EB7" w14:textId="77777777" w:rsidR="00CC44EB" w:rsidRPr="00947722" w:rsidRDefault="00CC44EB" w:rsidP="00947722">
      <w:pPr>
        <w:spacing w:after="0" w:line="360" w:lineRule="auto"/>
        <w:jc w:val="both"/>
        <w:outlineLvl w:val="0"/>
        <w:rPr>
          <w:rFonts w:ascii="Arial" w:eastAsia="Times New Roman" w:hAnsi="Arial" w:cs="Arial"/>
          <w:b/>
          <w:bCs/>
          <w:kern w:val="36"/>
          <w:sz w:val="22"/>
          <w:szCs w:val="22"/>
          <w14:ligatures w14:val="none"/>
        </w:rPr>
      </w:pPr>
    </w:p>
    <w:p w14:paraId="7F1103A0" w14:textId="77777777" w:rsidR="00CC44EB" w:rsidRPr="00947722" w:rsidRDefault="00CC44EB" w:rsidP="00947722">
      <w:pPr>
        <w:spacing w:after="0" w:line="360" w:lineRule="auto"/>
        <w:jc w:val="both"/>
        <w:rPr>
          <w:rFonts w:ascii="Arial" w:eastAsia="Times New Roman" w:hAnsi="Arial" w:cs="Arial"/>
          <w:b/>
          <w:bCs/>
          <w:kern w:val="0"/>
          <w:sz w:val="22"/>
          <w:szCs w:val="22"/>
          <w14:ligatures w14:val="none"/>
        </w:rPr>
      </w:pPr>
      <w:r w:rsidRPr="00947722">
        <w:rPr>
          <w:rFonts w:ascii="Arial" w:hAnsi="Arial" w:cs="Arial"/>
          <w:b/>
          <w:sz w:val="22"/>
          <w:szCs w:val="22"/>
        </w:rPr>
        <w:t>FULDA, ALLEMAGNE (5 mai 2026)</w:t>
      </w:r>
    </w:p>
    <w:p w14:paraId="539A41A4" w14:textId="77777777" w:rsidR="00CC44EB" w:rsidRPr="00947722" w:rsidRDefault="00CC44EB" w:rsidP="00947722">
      <w:pPr>
        <w:spacing w:after="0" w:line="360" w:lineRule="auto"/>
        <w:jc w:val="both"/>
        <w:rPr>
          <w:rFonts w:ascii="Arial" w:eastAsia="Times New Roman" w:hAnsi="Arial" w:cs="Arial"/>
          <w:kern w:val="0"/>
          <w:sz w:val="22"/>
          <w:szCs w:val="22"/>
          <w14:ligatures w14:val="none"/>
        </w:rPr>
      </w:pPr>
    </w:p>
    <w:p w14:paraId="4AC5068A" w14:textId="77777777" w:rsidR="00CC44EB" w:rsidRPr="00947722" w:rsidRDefault="00CC44EB" w:rsidP="00947722">
      <w:pPr>
        <w:spacing w:after="0" w:line="360" w:lineRule="auto"/>
        <w:jc w:val="both"/>
        <w:rPr>
          <w:rFonts w:ascii="Arial" w:eastAsia="Times New Roman" w:hAnsi="Arial" w:cs="Arial"/>
          <w:kern w:val="0"/>
          <w:sz w:val="22"/>
          <w:szCs w:val="22"/>
          <w14:ligatures w14:val="none"/>
        </w:rPr>
      </w:pPr>
      <w:r w:rsidRPr="00947722">
        <w:rPr>
          <w:rFonts w:ascii="Arial" w:hAnsi="Arial" w:cs="Arial"/>
          <w:sz w:val="22"/>
          <w:szCs w:val="22"/>
        </w:rPr>
        <w:t>Mehler Protection a participé à deux expositions clés sur la sécurité et la défense dans la région Asie-Pacifique : Defence Services Asia (DSA) 2026 à Kuala Lumpur, en Malaisie, et Milipol TechX Asia 2026 à Singapour.</w:t>
      </w:r>
    </w:p>
    <w:p w14:paraId="0BE09254" w14:textId="77777777" w:rsidR="00CC44EB" w:rsidRPr="00947722" w:rsidRDefault="00CC44EB" w:rsidP="00947722">
      <w:pPr>
        <w:spacing w:after="0" w:line="360" w:lineRule="auto"/>
        <w:jc w:val="both"/>
        <w:rPr>
          <w:rFonts w:ascii="Arial" w:eastAsia="Times New Roman" w:hAnsi="Arial" w:cs="Arial"/>
          <w:kern w:val="0"/>
          <w:sz w:val="22"/>
          <w:szCs w:val="22"/>
          <w14:ligatures w14:val="none"/>
        </w:rPr>
      </w:pPr>
    </w:p>
    <w:p w14:paraId="0398A7E4" w14:textId="77777777" w:rsidR="00CC44EB" w:rsidRPr="00947722" w:rsidRDefault="00CC44EB" w:rsidP="00947722">
      <w:pPr>
        <w:spacing w:after="0" w:line="360" w:lineRule="auto"/>
        <w:jc w:val="both"/>
        <w:rPr>
          <w:rFonts w:ascii="Arial" w:eastAsia="Times New Roman" w:hAnsi="Arial" w:cs="Arial"/>
          <w:kern w:val="0"/>
          <w:sz w:val="22"/>
          <w:szCs w:val="22"/>
          <w14:ligatures w14:val="none"/>
        </w:rPr>
      </w:pPr>
      <w:r w:rsidRPr="00947722">
        <w:rPr>
          <w:rFonts w:ascii="Arial" w:hAnsi="Arial" w:cs="Arial"/>
          <w:sz w:val="22"/>
          <w:szCs w:val="22"/>
        </w:rPr>
        <w:t>Le salon DSA, qui s’est tenu du 20 au 23 avril 2026, a réuni des représentants des forces armées, des forces de l'ordre et des pouvoirs publics de toute la région. Il a été suivi par le salon Milipol TechX Asia, qui s’est tenu du 28 au 30 avril 2026 et qui était axé sur la sécurité publique et les solutions technologiques.</w:t>
      </w:r>
    </w:p>
    <w:p w14:paraId="4437C7B5" w14:textId="77777777" w:rsidR="00CC44EB" w:rsidRPr="00947722" w:rsidRDefault="00CC44EB" w:rsidP="00947722">
      <w:pPr>
        <w:spacing w:after="0" w:line="360" w:lineRule="auto"/>
        <w:jc w:val="both"/>
        <w:rPr>
          <w:rFonts w:ascii="Arial" w:eastAsia="Times New Roman" w:hAnsi="Arial" w:cs="Arial"/>
          <w:kern w:val="0"/>
          <w:sz w:val="22"/>
          <w:szCs w:val="22"/>
          <w14:ligatures w14:val="none"/>
        </w:rPr>
      </w:pPr>
    </w:p>
    <w:p w14:paraId="126D7B72" w14:textId="77777777" w:rsidR="00CC44EB" w:rsidRPr="00947722" w:rsidRDefault="00CC44EB" w:rsidP="00947722">
      <w:pPr>
        <w:spacing w:after="0" w:line="360" w:lineRule="auto"/>
        <w:jc w:val="both"/>
        <w:rPr>
          <w:rFonts w:ascii="Arial" w:eastAsia="Times New Roman" w:hAnsi="Arial" w:cs="Arial"/>
          <w:kern w:val="0"/>
          <w:sz w:val="22"/>
          <w:szCs w:val="22"/>
          <w14:ligatures w14:val="none"/>
        </w:rPr>
      </w:pPr>
      <w:r w:rsidRPr="00947722">
        <w:rPr>
          <w:rFonts w:ascii="Arial" w:hAnsi="Arial" w:cs="Arial"/>
          <w:sz w:val="22"/>
          <w:szCs w:val="22"/>
        </w:rPr>
        <w:t>Lors de ces deux événements, Mehler Protection a présenté une sélection de ses solutions modulaires de protection individuelle. Au cœur de cette présentation figurait la technologie M.U.S.T. (Modular Universal Scalable Technology), fondée sur une approche évolutive qui permet de configurer la protection en fonction des exigences de la mission et des niveaux de menace. Le programme MOBAST figurait également parmi les produits présentés, témoignant de l’expérience de l’entreprise dans la fourniture de systèmes de gilets modulaires à grande échelle.</w:t>
      </w:r>
    </w:p>
    <w:p w14:paraId="2085D3AD" w14:textId="77777777" w:rsidR="00CC44EB" w:rsidRPr="00947722" w:rsidRDefault="00CC44EB" w:rsidP="00947722">
      <w:pPr>
        <w:spacing w:after="0" w:line="360" w:lineRule="auto"/>
        <w:jc w:val="both"/>
        <w:rPr>
          <w:rFonts w:ascii="Arial" w:eastAsia="Times New Roman" w:hAnsi="Arial" w:cs="Arial"/>
          <w:kern w:val="0"/>
          <w:sz w:val="22"/>
          <w:szCs w:val="22"/>
          <w14:ligatures w14:val="none"/>
        </w:rPr>
      </w:pPr>
    </w:p>
    <w:p w14:paraId="0D257EF0" w14:textId="77777777" w:rsidR="00CC44EB" w:rsidRPr="00947722" w:rsidRDefault="00CC44EB" w:rsidP="00947722">
      <w:pPr>
        <w:spacing w:after="0" w:line="360" w:lineRule="auto"/>
        <w:jc w:val="both"/>
        <w:rPr>
          <w:rFonts w:ascii="Arial" w:eastAsia="Times New Roman" w:hAnsi="Arial" w:cs="Arial"/>
          <w:kern w:val="0"/>
          <w:sz w:val="22"/>
          <w:szCs w:val="22"/>
          <w14:ligatures w14:val="none"/>
        </w:rPr>
      </w:pPr>
      <w:r w:rsidRPr="00947722">
        <w:rPr>
          <w:rFonts w:ascii="Arial" w:hAnsi="Arial" w:cs="Arial"/>
          <w:sz w:val="22"/>
          <w:szCs w:val="22"/>
        </w:rPr>
        <w:t>Le système Protec Flex, présenté comme un équipement anti-émeute complet comprenant une protection du torse, des bras, de l’aine et des jambes, ainsi que des gants, un casque et un bouclier, constituait un élément clé de la présentation. Le système est conçu pour offrir une protection adaptable tout en maintenant la mobilité dans des situations liées au maintien de l’ordre public.</w:t>
      </w:r>
    </w:p>
    <w:p w14:paraId="612A6DE1" w14:textId="77777777" w:rsidR="00CC44EB" w:rsidRPr="00947722" w:rsidRDefault="00CC44EB" w:rsidP="00947722">
      <w:pPr>
        <w:spacing w:after="0" w:line="360" w:lineRule="auto"/>
        <w:jc w:val="both"/>
        <w:rPr>
          <w:rFonts w:ascii="Arial" w:eastAsia="Times New Roman" w:hAnsi="Arial" w:cs="Arial"/>
          <w:kern w:val="0"/>
          <w:sz w:val="22"/>
          <w:szCs w:val="22"/>
          <w14:ligatures w14:val="none"/>
        </w:rPr>
      </w:pPr>
    </w:p>
    <w:p w14:paraId="72836B57" w14:textId="77777777" w:rsidR="00CC44EB" w:rsidRPr="00947722" w:rsidRDefault="00CC44EB" w:rsidP="00947722">
      <w:pPr>
        <w:spacing w:after="0" w:line="360" w:lineRule="auto"/>
        <w:jc w:val="both"/>
        <w:rPr>
          <w:rFonts w:ascii="Arial" w:eastAsia="Times New Roman" w:hAnsi="Arial" w:cs="Arial"/>
          <w:kern w:val="0"/>
          <w:sz w:val="22"/>
          <w:szCs w:val="22"/>
          <w14:ligatures w14:val="none"/>
        </w:rPr>
      </w:pPr>
      <w:r w:rsidRPr="00947722">
        <w:rPr>
          <w:rFonts w:ascii="Arial" w:hAnsi="Arial" w:cs="Arial"/>
          <w:sz w:val="22"/>
          <w:szCs w:val="22"/>
        </w:rPr>
        <w:t>La gamme présentée comprenait également des configurations de gilets de camouflage destinées aux opérations discrètes, ainsi que des gilets, des porte-plaques, des plaques balistiques dures et des panneaux balistiques souples. Des casques et des boucliers balistiques complétaient l’équipement, favorisant l’intégration entre différents rôles opérationnels.</w:t>
      </w:r>
    </w:p>
    <w:p w14:paraId="36B9E49D" w14:textId="77777777" w:rsidR="00CC44EB" w:rsidRPr="00947722" w:rsidRDefault="00CC44EB" w:rsidP="00947722">
      <w:pPr>
        <w:spacing w:after="0" w:line="360" w:lineRule="auto"/>
        <w:jc w:val="both"/>
        <w:rPr>
          <w:rFonts w:ascii="Arial" w:eastAsia="Times New Roman" w:hAnsi="Arial" w:cs="Arial"/>
          <w:kern w:val="0"/>
          <w:sz w:val="22"/>
          <w:szCs w:val="22"/>
          <w14:ligatures w14:val="none"/>
        </w:rPr>
      </w:pPr>
      <w:r w:rsidRPr="00947722">
        <w:rPr>
          <w:rFonts w:ascii="Arial" w:hAnsi="Arial" w:cs="Arial"/>
          <w:sz w:val="22"/>
          <w:szCs w:val="22"/>
        </w:rPr>
        <w:t>Lors du salon Milipol TechX Asia 2026, la présentation a également porté sur l’exosquelette ExoM, conçu pour faciliter le transport de charges et réduire les contraintes physiques lors d’une utilisation prolongée.</w:t>
      </w:r>
    </w:p>
    <w:p w14:paraId="76F76A1B" w14:textId="77777777" w:rsidR="00CC44EB" w:rsidRPr="00947722" w:rsidRDefault="00CC44EB" w:rsidP="00947722">
      <w:pPr>
        <w:spacing w:after="0" w:line="360" w:lineRule="auto"/>
        <w:jc w:val="both"/>
        <w:rPr>
          <w:rFonts w:ascii="Arial" w:eastAsia="Times New Roman" w:hAnsi="Arial" w:cs="Arial"/>
          <w:kern w:val="0"/>
          <w:sz w:val="22"/>
          <w:szCs w:val="22"/>
          <w14:ligatures w14:val="none"/>
        </w:rPr>
      </w:pPr>
    </w:p>
    <w:p w14:paraId="14842631" w14:textId="77777777" w:rsidR="00CC44EB" w:rsidRPr="00947722" w:rsidRDefault="00CC44EB" w:rsidP="00947722">
      <w:pPr>
        <w:spacing w:after="0" w:line="360" w:lineRule="auto"/>
        <w:jc w:val="both"/>
        <w:rPr>
          <w:rFonts w:ascii="Arial" w:eastAsia="Times New Roman" w:hAnsi="Arial" w:cs="Arial"/>
          <w:kern w:val="0"/>
          <w:sz w:val="22"/>
          <w:szCs w:val="22"/>
          <w14:ligatures w14:val="none"/>
        </w:rPr>
      </w:pPr>
      <w:r w:rsidRPr="00947722">
        <w:rPr>
          <w:rFonts w:ascii="Arial" w:hAnsi="Arial" w:cs="Arial"/>
          <w:sz w:val="22"/>
          <w:szCs w:val="22"/>
        </w:rPr>
        <w:lastRenderedPageBreak/>
        <w:t>Ces deux expositions ont été l’occasion de rencontrer des partenaires régionaux, des représentants des services d’approvisionnement et des utilisateurs opérationnels. Les discussions ont porté sur les exigences actuelles, les cas d’utilisation pratiques et l’adaptabilité des systèmes dans différents environnements.</w:t>
      </w:r>
    </w:p>
    <w:p w14:paraId="1E010C7B" w14:textId="77777777" w:rsidR="00CC44EB" w:rsidRPr="00947722" w:rsidRDefault="00CC44EB" w:rsidP="00947722">
      <w:pPr>
        <w:spacing w:after="0" w:line="360" w:lineRule="auto"/>
        <w:jc w:val="both"/>
        <w:rPr>
          <w:rFonts w:ascii="Arial" w:eastAsia="Times New Roman" w:hAnsi="Arial" w:cs="Arial"/>
          <w:kern w:val="0"/>
          <w:sz w:val="22"/>
          <w:szCs w:val="22"/>
          <w14:ligatures w14:val="none"/>
        </w:rPr>
      </w:pPr>
    </w:p>
    <w:p w14:paraId="08C5D73C" w14:textId="6BAAB37C" w:rsidR="00A57860" w:rsidRPr="00947722" w:rsidRDefault="00CC44EB" w:rsidP="00947722">
      <w:pPr>
        <w:spacing w:after="0" w:line="360" w:lineRule="auto"/>
        <w:jc w:val="both"/>
        <w:rPr>
          <w:rFonts w:ascii="Arial" w:hAnsi="Arial" w:cs="Arial"/>
          <w:sz w:val="22"/>
          <w:szCs w:val="22"/>
        </w:rPr>
      </w:pPr>
      <w:r w:rsidRPr="00947722">
        <w:rPr>
          <w:rFonts w:ascii="Arial" w:hAnsi="Arial" w:cs="Arial"/>
          <w:sz w:val="22"/>
          <w:szCs w:val="22"/>
        </w:rPr>
        <w:t>La présence de Mehler Protection à ces deux événements témoigne de son engagement continu dans la région Asie-Pacifique et de sa coopération continue avec ses partenaires sur le terrain.</w:t>
      </w:r>
    </w:p>
    <w:p w14:paraId="0F622047" w14:textId="77777777" w:rsidR="00F41A6E" w:rsidRPr="00947722" w:rsidRDefault="00F41A6E" w:rsidP="00947722">
      <w:pPr>
        <w:spacing w:after="0" w:line="360" w:lineRule="auto"/>
        <w:jc w:val="both"/>
        <w:rPr>
          <w:rFonts w:ascii="Arial" w:hAnsi="Arial" w:cs="Arial"/>
          <w:sz w:val="22"/>
          <w:szCs w:val="22"/>
        </w:rPr>
      </w:pPr>
    </w:p>
    <w:p w14:paraId="287FF0F1" w14:textId="77777777" w:rsidR="00947722" w:rsidRPr="00947722" w:rsidRDefault="00947722" w:rsidP="00947722">
      <w:pPr>
        <w:pStyle w:val="NormalWeb"/>
        <w:spacing w:before="0" w:beforeAutospacing="0" w:after="0" w:afterAutospacing="0" w:line="360" w:lineRule="auto"/>
        <w:jc w:val="both"/>
        <w:rPr>
          <w:rFonts w:ascii="Arial" w:hAnsi="Arial" w:cs="Arial"/>
          <w:sz w:val="22"/>
          <w:szCs w:val="22"/>
        </w:rPr>
      </w:pPr>
      <w:r w:rsidRPr="00947722">
        <w:rPr>
          <w:rStyle w:val="Strong"/>
          <w:rFonts w:ascii="Arial" w:eastAsiaTheme="majorEastAsia" w:hAnsi="Arial" w:cs="Arial"/>
          <w:i/>
          <w:iCs/>
          <w:sz w:val="22"/>
          <w:szCs w:val="22"/>
        </w:rPr>
        <w:t>À propos de Mehler Protection :</w:t>
      </w:r>
    </w:p>
    <w:p w14:paraId="4F4B05AC" w14:textId="77777777" w:rsidR="00947722" w:rsidRDefault="00947722" w:rsidP="00947722">
      <w:pPr>
        <w:pStyle w:val="NormalWeb"/>
        <w:spacing w:before="0" w:beforeAutospacing="0" w:after="0" w:afterAutospacing="0" w:line="360" w:lineRule="auto"/>
        <w:jc w:val="both"/>
        <w:rPr>
          <w:rStyle w:val="Emphasis"/>
          <w:rFonts w:ascii="Arial" w:eastAsiaTheme="majorEastAsia" w:hAnsi="Arial" w:cs="Arial"/>
          <w:sz w:val="22"/>
          <w:szCs w:val="22"/>
        </w:rPr>
      </w:pPr>
      <w:r w:rsidRPr="00947722">
        <w:rPr>
          <w:rStyle w:val="Emphasis"/>
          <w:rFonts w:ascii="Arial" w:eastAsiaTheme="majorEastAsia" w:hAnsi="Arial" w:cs="Arial"/>
          <w:sz w:val="22"/>
          <w:szCs w:val="22"/>
        </w:rPr>
        <w:t>Mehler Protection est l’un des principaux fournisseurs de systèmes de protection balistique de haute qualité pour les forces de l’ordre, les forces militaires et les forces spéciales. L’entreprise s’engage en faveur de la sécurité en fournissant des solutions innovantes et robustes, adaptées aux besoins spécifiques de chaque mission. Sa gamme comprend des protections balistiques individuelles, des protections contre les coups de couteau et les lacérations, des casques, des boucliers et des protections de plateforme blindées pour les véhicules navals, aériens et terrestres, ainsi que pour les infrastructures stratégiques.</w:t>
      </w:r>
    </w:p>
    <w:p w14:paraId="1EDCE280" w14:textId="77777777" w:rsidR="00947722" w:rsidRPr="00947722" w:rsidRDefault="00947722" w:rsidP="00947722">
      <w:pPr>
        <w:pStyle w:val="NormalWeb"/>
        <w:spacing w:before="0" w:beforeAutospacing="0" w:after="0" w:afterAutospacing="0" w:line="360" w:lineRule="auto"/>
        <w:jc w:val="both"/>
        <w:rPr>
          <w:rFonts w:ascii="Arial" w:hAnsi="Arial" w:cs="Arial"/>
          <w:sz w:val="22"/>
          <w:szCs w:val="22"/>
        </w:rPr>
      </w:pPr>
    </w:p>
    <w:p w14:paraId="0C257333" w14:textId="77777777" w:rsidR="00947722" w:rsidRDefault="00947722" w:rsidP="00947722">
      <w:pPr>
        <w:pStyle w:val="NormalWeb"/>
        <w:spacing w:before="0" w:beforeAutospacing="0" w:after="0" w:afterAutospacing="0" w:line="360" w:lineRule="auto"/>
        <w:jc w:val="both"/>
        <w:rPr>
          <w:rStyle w:val="Emphasis"/>
          <w:rFonts w:ascii="Arial" w:eastAsiaTheme="majorEastAsia" w:hAnsi="Arial" w:cs="Arial"/>
          <w:sz w:val="22"/>
          <w:szCs w:val="22"/>
        </w:rPr>
      </w:pPr>
      <w:r w:rsidRPr="00947722">
        <w:rPr>
          <w:rStyle w:val="Emphasis"/>
          <w:rFonts w:ascii="Arial" w:eastAsiaTheme="majorEastAsia" w:hAnsi="Arial" w:cs="Arial"/>
          <w:sz w:val="22"/>
          <w:szCs w:val="22"/>
        </w:rPr>
        <w:t>En tant que membre du groupe Mehler Systems, Mehler Protection s’appuie sur plus de quatre décennies d’expérience dans le développement et la fabrication de solutions de protection personnalisées.</w:t>
      </w:r>
    </w:p>
    <w:p w14:paraId="205A1621" w14:textId="77777777" w:rsidR="00947722" w:rsidRPr="00947722" w:rsidRDefault="00947722" w:rsidP="00947722">
      <w:pPr>
        <w:pStyle w:val="NormalWeb"/>
        <w:spacing w:before="0" w:beforeAutospacing="0" w:after="0" w:afterAutospacing="0" w:line="360" w:lineRule="auto"/>
        <w:jc w:val="both"/>
        <w:rPr>
          <w:rFonts w:ascii="Arial" w:hAnsi="Arial" w:cs="Arial"/>
          <w:sz w:val="22"/>
          <w:szCs w:val="22"/>
        </w:rPr>
      </w:pPr>
    </w:p>
    <w:p w14:paraId="13C12B98" w14:textId="77777777" w:rsidR="00947722" w:rsidRPr="00947722" w:rsidRDefault="00947722" w:rsidP="00947722">
      <w:pPr>
        <w:pStyle w:val="NormalWeb"/>
        <w:spacing w:before="0" w:beforeAutospacing="0" w:after="0" w:afterAutospacing="0" w:line="360" w:lineRule="auto"/>
        <w:jc w:val="both"/>
        <w:rPr>
          <w:rFonts w:ascii="Arial" w:hAnsi="Arial" w:cs="Arial"/>
          <w:sz w:val="22"/>
          <w:szCs w:val="22"/>
        </w:rPr>
      </w:pPr>
      <w:r w:rsidRPr="00947722">
        <w:rPr>
          <w:rStyle w:val="Strong"/>
          <w:rFonts w:ascii="Arial" w:eastAsiaTheme="majorEastAsia" w:hAnsi="Arial" w:cs="Arial"/>
          <w:i/>
          <w:iCs/>
          <w:sz w:val="22"/>
          <w:szCs w:val="22"/>
        </w:rPr>
        <w:t>Contact médias :</w:t>
      </w:r>
    </w:p>
    <w:p w14:paraId="74B2254E" w14:textId="77777777" w:rsidR="00947722" w:rsidRPr="00947722" w:rsidRDefault="00947722" w:rsidP="00947722">
      <w:pPr>
        <w:pStyle w:val="NormalWeb"/>
        <w:spacing w:before="0" w:beforeAutospacing="0" w:after="0" w:afterAutospacing="0" w:line="360" w:lineRule="auto"/>
        <w:jc w:val="both"/>
        <w:rPr>
          <w:rFonts w:ascii="Arial" w:hAnsi="Arial" w:cs="Arial"/>
          <w:sz w:val="22"/>
          <w:szCs w:val="22"/>
        </w:rPr>
      </w:pPr>
      <w:r w:rsidRPr="00947722">
        <w:rPr>
          <w:rStyle w:val="Emphasis"/>
          <w:rFonts w:ascii="Arial" w:eastAsiaTheme="majorEastAsia" w:hAnsi="Arial" w:cs="Arial"/>
          <w:sz w:val="22"/>
          <w:szCs w:val="22"/>
        </w:rPr>
        <w:t>Philipp Somogyi</w:t>
      </w:r>
    </w:p>
    <w:p w14:paraId="714E1F4A" w14:textId="77777777" w:rsidR="00947722" w:rsidRPr="00947722" w:rsidRDefault="00947722" w:rsidP="00947722">
      <w:pPr>
        <w:pStyle w:val="NormalWeb"/>
        <w:spacing w:before="0" w:beforeAutospacing="0" w:after="0" w:afterAutospacing="0" w:line="360" w:lineRule="auto"/>
        <w:jc w:val="both"/>
        <w:rPr>
          <w:rFonts w:ascii="Arial" w:hAnsi="Arial" w:cs="Arial"/>
          <w:sz w:val="22"/>
          <w:szCs w:val="22"/>
        </w:rPr>
      </w:pPr>
      <w:r w:rsidRPr="00947722">
        <w:rPr>
          <w:rStyle w:val="Emphasis"/>
          <w:rFonts w:ascii="Arial" w:eastAsiaTheme="majorEastAsia" w:hAnsi="Arial" w:cs="Arial"/>
          <w:sz w:val="22"/>
          <w:szCs w:val="22"/>
        </w:rPr>
        <w:t>Responsable du marketing solutions de protection blindée individuelle et de plateforme</w:t>
      </w:r>
    </w:p>
    <w:p w14:paraId="5D1340C2" w14:textId="77777777" w:rsidR="00947722" w:rsidRPr="00947722" w:rsidRDefault="00947722" w:rsidP="00947722">
      <w:pPr>
        <w:pStyle w:val="NormalWeb"/>
        <w:spacing w:before="0" w:beforeAutospacing="0" w:after="0" w:afterAutospacing="0" w:line="360" w:lineRule="auto"/>
        <w:jc w:val="both"/>
        <w:rPr>
          <w:rFonts w:ascii="Arial" w:hAnsi="Arial" w:cs="Arial"/>
          <w:sz w:val="22"/>
          <w:szCs w:val="22"/>
        </w:rPr>
      </w:pPr>
      <w:hyperlink r:id="rId4" w:history="1">
        <w:r w:rsidRPr="00947722">
          <w:rPr>
            <w:rStyle w:val="Strong"/>
            <w:rFonts w:ascii="Arial" w:eastAsiaTheme="majorEastAsia" w:hAnsi="Arial" w:cs="Arial"/>
            <w:i/>
            <w:iCs/>
            <w:color w:val="0000FF"/>
            <w:sz w:val="22"/>
            <w:szCs w:val="22"/>
            <w:u w:val="single"/>
          </w:rPr>
          <w:t>philipp.somogyi@mehler-systems.com</w:t>
        </w:r>
      </w:hyperlink>
    </w:p>
    <w:p w14:paraId="4FF5DA6D" w14:textId="77777777" w:rsidR="00F41A6E" w:rsidRPr="00947722" w:rsidRDefault="00F41A6E" w:rsidP="00947722">
      <w:pPr>
        <w:spacing w:after="0" w:line="360" w:lineRule="auto"/>
        <w:jc w:val="both"/>
        <w:rPr>
          <w:rFonts w:ascii="Arial" w:eastAsia="Times New Roman" w:hAnsi="Arial" w:cs="Arial"/>
          <w:kern w:val="0"/>
          <w:sz w:val="22"/>
          <w:szCs w:val="22"/>
          <w14:ligatures w14:val="none"/>
        </w:rPr>
      </w:pPr>
    </w:p>
    <w:sectPr w:rsidR="00F41A6E" w:rsidRPr="009477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EB"/>
    <w:rsid w:val="000F7D01"/>
    <w:rsid w:val="00106A09"/>
    <w:rsid w:val="006737AB"/>
    <w:rsid w:val="0078118F"/>
    <w:rsid w:val="00920280"/>
    <w:rsid w:val="00947722"/>
    <w:rsid w:val="00A57860"/>
    <w:rsid w:val="00CC2A46"/>
    <w:rsid w:val="00CC44EB"/>
    <w:rsid w:val="00E93E4B"/>
    <w:rsid w:val="00F41A6E"/>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71BD6B58"/>
  <w15:chartTrackingRefBased/>
  <w15:docId w15:val="{2C828E31-4119-D049-9244-286D32BD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4EB"/>
    <w:rPr>
      <w:rFonts w:eastAsiaTheme="majorEastAsia" w:cstheme="majorBidi"/>
      <w:color w:val="272727" w:themeColor="text1" w:themeTint="D8"/>
    </w:rPr>
  </w:style>
  <w:style w:type="paragraph" w:styleId="Title">
    <w:name w:val="Title"/>
    <w:basedOn w:val="Normal"/>
    <w:next w:val="Normal"/>
    <w:link w:val="TitleChar"/>
    <w:uiPriority w:val="10"/>
    <w:qFormat/>
    <w:rsid w:val="00CC4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4EB"/>
    <w:pPr>
      <w:spacing w:before="160"/>
      <w:jc w:val="center"/>
    </w:pPr>
    <w:rPr>
      <w:i/>
      <w:iCs/>
      <w:color w:val="404040" w:themeColor="text1" w:themeTint="BF"/>
    </w:rPr>
  </w:style>
  <w:style w:type="character" w:customStyle="1" w:styleId="QuoteChar">
    <w:name w:val="Quote Char"/>
    <w:basedOn w:val="DefaultParagraphFont"/>
    <w:link w:val="Quote"/>
    <w:uiPriority w:val="29"/>
    <w:rsid w:val="00CC44EB"/>
    <w:rPr>
      <w:i/>
      <w:iCs/>
      <w:color w:val="404040" w:themeColor="text1" w:themeTint="BF"/>
    </w:rPr>
  </w:style>
  <w:style w:type="paragraph" w:styleId="ListParagraph">
    <w:name w:val="List Paragraph"/>
    <w:basedOn w:val="Normal"/>
    <w:uiPriority w:val="34"/>
    <w:qFormat/>
    <w:rsid w:val="00CC44EB"/>
    <w:pPr>
      <w:ind w:left="720"/>
      <w:contextualSpacing/>
    </w:pPr>
  </w:style>
  <w:style w:type="character" w:styleId="IntenseEmphasis">
    <w:name w:val="Intense Emphasis"/>
    <w:basedOn w:val="DefaultParagraphFont"/>
    <w:uiPriority w:val="21"/>
    <w:qFormat/>
    <w:rsid w:val="00CC44EB"/>
    <w:rPr>
      <w:i/>
      <w:iCs/>
      <w:color w:val="0F4761" w:themeColor="accent1" w:themeShade="BF"/>
    </w:rPr>
  </w:style>
  <w:style w:type="paragraph" w:styleId="IntenseQuote">
    <w:name w:val="Intense Quote"/>
    <w:basedOn w:val="Normal"/>
    <w:next w:val="Normal"/>
    <w:link w:val="IntenseQuoteChar"/>
    <w:uiPriority w:val="30"/>
    <w:qFormat/>
    <w:rsid w:val="00CC4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4EB"/>
    <w:rPr>
      <w:i/>
      <w:iCs/>
      <w:color w:val="0F4761" w:themeColor="accent1" w:themeShade="BF"/>
    </w:rPr>
  </w:style>
  <w:style w:type="character" w:styleId="IntenseReference">
    <w:name w:val="Intense Reference"/>
    <w:basedOn w:val="DefaultParagraphFont"/>
    <w:uiPriority w:val="32"/>
    <w:qFormat/>
    <w:rsid w:val="00CC44EB"/>
    <w:rPr>
      <w:b/>
      <w:bCs/>
      <w:smallCaps/>
      <w:color w:val="0F4761" w:themeColor="accent1" w:themeShade="BF"/>
      <w:spacing w:val="5"/>
    </w:rPr>
  </w:style>
  <w:style w:type="character" w:styleId="Strong">
    <w:name w:val="Strong"/>
    <w:basedOn w:val="DefaultParagraphFont"/>
    <w:uiPriority w:val="22"/>
    <w:qFormat/>
    <w:rsid w:val="00CC44EB"/>
    <w:rPr>
      <w:b/>
      <w:bCs/>
    </w:rPr>
  </w:style>
  <w:style w:type="paragraph" w:styleId="NormalWeb">
    <w:name w:val="Normal (Web)"/>
    <w:basedOn w:val="Normal"/>
    <w:uiPriority w:val="99"/>
    <w:semiHidden/>
    <w:unhideWhenUsed/>
    <w:rsid w:val="00CC44E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tion-enable-hover">
    <w:name w:val="notion-enable-hover"/>
    <w:basedOn w:val="DefaultParagraphFont"/>
    <w:rsid w:val="00E93E4B"/>
  </w:style>
  <w:style w:type="character" w:styleId="Emphasis">
    <w:name w:val="Emphasis"/>
    <w:basedOn w:val="DefaultParagraphFont"/>
    <w:uiPriority w:val="20"/>
    <w:qFormat/>
    <w:rsid w:val="009477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hilipp.somogyi@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2026-05-06T13:09:00Z</dcterms:created>
  <dcterms:modified xsi:type="dcterms:W3CDTF">2026-05-06T13:09:00Z</dcterms:modified>
</cp:coreProperties>
</file>