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1CAC" w14:textId="77777777" w:rsidR="00022006" w:rsidRPr="0036113E" w:rsidRDefault="00022006" w:rsidP="0036113E">
      <w:pPr>
        <w:spacing w:after="0" w:line="360" w:lineRule="auto"/>
        <w:jc w:val="both"/>
        <w:outlineLvl w:val="0"/>
        <w:rPr>
          <w:rFonts w:ascii="Arial" w:eastAsia="Times New Roman" w:hAnsi="Arial" w:cs="Arial"/>
          <w:b/>
          <w:bCs/>
          <w:kern w:val="36"/>
          <w:sz w:val="22"/>
          <w:szCs w:val="22"/>
          <w14:ligatures w14:val="none"/>
        </w:rPr>
      </w:pPr>
      <w:r w:rsidRPr="00022006">
        <w:rPr>
          <w:rFonts w:ascii="Arial" w:eastAsia="Times New Roman" w:hAnsi="Arial" w:cs="Arial"/>
          <w:b/>
          <w:bCs/>
          <w:kern w:val="36"/>
          <w:sz w:val="22"/>
          <w:szCs w:val="22"/>
          <w14:ligatures w14:val="none"/>
        </w:rPr>
        <w:t>Mehler Protection and Lindnerhof Showcase Law Enforcement Solutions at Infopol 2026</w:t>
      </w:r>
    </w:p>
    <w:p w14:paraId="68ED1EB3" w14:textId="77777777" w:rsidR="00022006" w:rsidRPr="00022006" w:rsidRDefault="00022006" w:rsidP="0036113E">
      <w:pPr>
        <w:spacing w:after="0" w:line="360" w:lineRule="auto"/>
        <w:jc w:val="both"/>
        <w:outlineLvl w:val="0"/>
        <w:rPr>
          <w:rFonts w:ascii="Arial" w:eastAsia="Times New Roman" w:hAnsi="Arial" w:cs="Arial"/>
          <w:b/>
          <w:bCs/>
          <w:kern w:val="36"/>
          <w:sz w:val="22"/>
          <w:szCs w:val="22"/>
          <w14:ligatures w14:val="none"/>
        </w:rPr>
      </w:pPr>
    </w:p>
    <w:p w14:paraId="513BD204" w14:textId="243C914E" w:rsidR="00022006" w:rsidRPr="0036113E" w:rsidRDefault="00022006" w:rsidP="0036113E">
      <w:pPr>
        <w:spacing w:after="0" w:line="360" w:lineRule="auto"/>
        <w:jc w:val="both"/>
        <w:rPr>
          <w:rFonts w:ascii="Arial" w:eastAsia="Times New Roman" w:hAnsi="Arial" w:cs="Arial"/>
          <w:b/>
          <w:bCs/>
          <w:kern w:val="0"/>
          <w:sz w:val="22"/>
          <w:szCs w:val="22"/>
          <w14:ligatures w14:val="none"/>
        </w:rPr>
      </w:pPr>
      <w:r w:rsidRPr="00022006">
        <w:rPr>
          <w:rFonts w:ascii="Arial" w:eastAsia="Times New Roman" w:hAnsi="Arial" w:cs="Arial"/>
          <w:b/>
          <w:bCs/>
          <w:kern w:val="0"/>
          <w:sz w:val="22"/>
          <w:szCs w:val="22"/>
          <w14:ligatures w14:val="none"/>
        </w:rPr>
        <w:t>FULDA, LENGGRIES, GERMANY (</w:t>
      </w:r>
      <w:r w:rsidR="00CD1324">
        <w:rPr>
          <w:rFonts w:ascii="Arial" w:eastAsia="Times New Roman" w:hAnsi="Arial" w:cs="Arial"/>
          <w:b/>
          <w:bCs/>
          <w:kern w:val="0"/>
          <w:sz w:val="22"/>
          <w:szCs w:val="22"/>
          <w14:ligatures w14:val="none"/>
        </w:rPr>
        <w:t>8</w:t>
      </w:r>
      <w:r w:rsidRPr="00022006">
        <w:rPr>
          <w:rFonts w:ascii="Arial" w:eastAsia="Times New Roman" w:hAnsi="Arial" w:cs="Arial"/>
          <w:b/>
          <w:bCs/>
          <w:kern w:val="0"/>
          <w:sz w:val="22"/>
          <w:szCs w:val="22"/>
          <w14:ligatures w14:val="none"/>
        </w:rPr>
        <w:t xml:space="preserve"> May 2026)</w:t>
      </w:r>
    </w:p>
    <w:p w14:paraId="3434E97D"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7EF4D3FE" w14:textId="77777777" w:rsidR="00022006" w:rsidRPr="0036113E"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Mehler Protection and Lindnerhof have concluded their participation at Infopol 2026, which took place from 28 to 30 April at Kortrijk Xpo in Belgium.</w:t>
      </w:r>
    </w:p>
    <w:p w14:paraId="07075FEA"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1175B0BC" w14:textId="77777777" w:rsidR="00022006" w:rsidRPr="0036113E"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During the event, both brands presented selected solutions for law enforcement and public security operations at the Mehler Systems booth in Hall 3, Booth 379, engaging with police professionals, procurement specialists, and operational users from across the Benelux region.</w:t>
      </w:r>
    </w:p>
    <w:p w14:paraId="67D4C4DB"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6B09E0B4" w14:textId="77777777" w:rsidR="00022006" w:rsidRPr="0036113E"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Infopol provided an opportunity to exchange insights on current operational requirements and discuss the evolving needs of law enforcement and emergency response units operating in increasingly dynamic security environments.</w:t>
      </w:r>
    </w:p>
    <w:p w14:paraId="1DF02304"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5BD158A0" w14:textId="77777777" w:rsidR="00022006" w:rsidRPr="0036113E"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Mehler Protection showcased a range of personal protection solutions for law enforcement applications, including protective vests, plate carriers, ballistic helmets, hard and soft ballistic packages, and high-visibility police equipment.</w:t>
      </w:r>
    </w:p>
    <w:p w14:paraId="51F184A6"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0941C85F" w14:textId="77777777" w:rsidR="00022006" w:rsidRPr="0036113E"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Particular attention was given to the M.U.S.T. and HYVE systems, modular protection platforms designed to adapt to different mission requirements, threat levels, and operational roles within police and security units. The systems demonstrated scalable approaches to ballistic protection, allowing configurations to be adjusted according to operational demands and user preferences.</w:t>
      </w:r>
    </w:p>
    <w:p w14:paraId="323855F6"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3BB09A9C" w14:textId="77777777" w:rsidR="00022006" w:rsidRPr="0036113E"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Lindnerhof presented modular load-carrying solutions, including plate carriers, chest rigs, belts, pouches, and components from its heavy load-carrying system portfolio. The displayed setups highlighted different approaches to equipment organisation, accessibility, and mission-specific configuration for law enforcement users.</w:t>
      </w:r>
    </w:p>
    <w:p w14:paraId="498FA5DD"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p>
    <w:p w14:paraId="0128320F" w14:textId="77777777" w:rsidR="00022006" w:rsidRPr="00022006" w:rsidRDefault="00022006" w:rsidP="0036113E">
      <w:pPr>
        <w:spacing w:after="0" w:line="360" w:lineRule="auto"/>
        <w:jc w:val="both"/>
        <w:rPr>
          <w:rFonts w:ascii="Arial" w:eastAsia="Times New Roman" w:hAnsi="Arial" w:cs="Arial"/>
          <w:kern w:val="0"/>
          <w:sz w:val="22"/>
          <w:szCs w:val="22"/>
          <w14:ligatures w14:val="none"/>
        </w:rPr>
      </w:pPr>
      <w:r w:rsidRPr="00022006">
        <w:rPr>
          <w:rFonts w:ascii="Arial" w:eastAsia="Times New Roman" w:hAnsi="Arial" w:cs="Arial"/>
          <w:kern w:val="0"/>
          <w:sz w:val="22"/>
          <w:szCs w:val="22"/>
          <w14:ligatures w14:val="none"/>
        </w:rPr>
        <w:t>Infopol 2026 marked another opportunity for Mehler Protection and Lindnerhof to strengthen relationships within the European law enforcement community and continue direct exchanges with end users and institutional partners.</w:t>
      </w:r>
    </w:p>
    <w:p w14:paraId="6867C43F" w14:textId="77777777" w:rsidR="00A57860" w:rsidRPr="0036113E" w:rsidRDefault="00A57860" w:rsidP="0036113E">
      <w:pPr>
        <w:spacing w:after="0" w:line="360" w:lineRule="auto"/>
        <w:jc w:val="both"/>
        <w:rPr>
          <w:rFonts w:ascii="Arial" w:hAnsi="Arial" w:cs="Arial"/>
          <w:sz w:val="22"/>
          <w:szCs w:val="22"/>
        </w:rPr>
      </w:pPr>
    </w:p>
    <w:p w14:paraId="443A3956"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r w:rsidRPr="0036113E">
        <w:rPr>
          <w:rStyle w:val="Strong"/>
          <w:rFonts w:ascii="Arial" w:eastAsiaTheme="majorEastAsia" w:hAnsi="Arial" w:cs="Arial"/>
          <w:i/>
          <w:iCs/>
          <w:sz w:val="22"/>
          <w:szCs w:val="22"/>
        </w:rPr>
        <w:t>About Mehler Systems:</w:t>
      </w:r>
    </w:p>
    <w:p w14:paraId="08B67455" w14:textId="77777777" w:rsidR="0036113E" w:rsidRDefault="0036113E" w:rsidP="0036113E">
      <w:pPr>
        <w:pStyle w:val="NormalWeb"/>
        <w:spacing w:before="0" w:beforeAutospacing="0" w:after="0" w:afterAutospacing="0" w:line="360" w:lineRule="auto"/>
        <w:jc w:val="both"/>
        <w:rPr>
          <w:rStyle w:val="Emphasis"/>
          <w:rFonts w:ascii="Arial" w:eastAsiaTheme="majorEastAsia" w:hAnsi="Arial" w:cs="Arial"/>
          <w:sz w:val="22"/>
          <w:szCs w:val="22"/>
        </w:rPr>
      </w:pPr>
      <w:r w:rsidRPr="0036113E">
        <w:rPr>
          <w:rStyle w:val="Emphasis"/>
          <w:rFonts w:ascii="Arial" w:eastAsiaTheme="majorEastAsia" w:hAnsi="Arial" w:cs="Arial"/>
          <w:sz w:val="22"/>
          <w:szCs w:val="22"/>
        </w:rPr>
        <w:lastRenderedPageBreak/>
        <w:t>Mehler Systems Group is an international and global leader dedicated to exceptional ballistic protection and tactical-gear solutions for law enforcement, the military, and special forces.</w:t>
      </w:r>
    </w:p>
    <w:p w14:paraId="3865FC2F"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p>
    <w:p w14:paraId="5A999D6B" w14:textId="77777777" w:rsidR="0036113E" w:rsidRDefault="0036113E" w:rsidP="0036113E">
      <w:pPr>
        <w:pStyle w:val="NormalWeb"/>
        <w:spacing w:before="0" w:beforeAutospacing="0" w:after="0" w:afterAutospacing="0" w:line="360" w:lineRule="auto"/>
        <w:jc w:val="both"/>
        <w:rPr>
          <w:rStyle w:val="Emphasis"/>
          <w:rFonts w:ascii="Arial" w:eastAsiaTheme="majorEastAsia" w:hAnsi="Arial" w:cs="Arial"/>
          <w:sz w:val="22"/>
          <w:szCs w:val="22"/>
        </w:rPr>
      </w:pPr>
      <w:r w:rsidRPr="0036113E">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7B5AFE72"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p>
    <w:p w14:paraId="74CBBDB7" w14:textId="77777777" w:rsidR="0036113E" w:rsidRDefault="0036113E" w:rsidP="0036113E">
      <w:pPr>
        <w:pStyle w:val="NormalWeb"/>
        <w:spacing w:before="0" w:beforeAutospacing="0" w:after="0" w:afterAutospacing="0" w:line="360" w:lineRule="auto"/>
        <w:jc w:val="both"/>
        <w:rPr>
          <w:rStyle w:val="Emphasis"/>
          <w:rFonts w:ascii="Arial" w:eastAsiaTheme="majorEastAsia" w:hAnsi="Arial" w:cs="Arial"/>
          <w:sz w:val="22"/>
          <w:szCs w:val="22"/>
        </w:rPr>
      </w:pPr>
      <w:r w:rsidRPr="0036113E">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w:t>
      </w:r>
    </w:p>
    <w:p w14:paraId="1A4D6D19" w14:textId="77777777" w:rsidR="0036113E" w:rsidRDefault="0036113E" w:rsidP="0036113E">
      <w:pPr>
        <w:pStyle w:val="NormalWeb"/>
        <w:spacing w:before="0" w:beforeAutospacing="0" w:after="0" w:afterAutospacing="0" w:line="360" w:lineRule="auto"/>
        <w:jc w:val="both"/>
        <w:rPr>
          <w:rStyle w:val="Emphasis"/>
          <w:rFonts w:ascii="Arial" w:eastAsiaTheme="majorEastAsia" w:hAnsi="Arial" w:cs="Arial"/>
          <w:sz w:val="22"/>
          <w:szCs w:val="22"/>
        </w:rPr>
      </w:pPr>
    </w:p>
    <w:p w14:paraId="52390915" w14:textId="473A153C" w:rsidR="0036113E" w:rsidRDefault="0036113E" w:rsidP="0036113E">
      <w:pPr>
        <w:pStyle w:val="NormalWeb"/>
        <w:spacing w:before="0" w:beforeAutospacing="0" w:after="0" w:afterAutospacing="0" w:line="360" w:lineRule="auto"/>
        <w:jc w:val="both"/>
        <w:rPr>
          <w:rStyle w:val="Emphasis"/>
          <w:rFonts w:ascii="Arial" w:eastAsiaTheme="majorEastAsia" w:hAnsi="Arial" w:cs="Arial"/>
          <w:sz w:val="22"/>
          <w:szCs w:val="22"/>
        </w:rPr>
      </w:pPr>
      <w:r w:rsidRPr="0036113E">
        <w:rPr>
          <w:rStyle w:val="Emphasis"/>
          <w:rFonts w:ascii="Arial" w:eastAsiaTheme="majorEastAsia" w:hAnsi="Arial" w:cs="Arial"/>
          <w:sz w:val="22"/>
          <w:szCs w:val="22"/>
        </w:rPr>
        <w:t xml:space="preserve">For more information about Mehler Systems, please visit </w:t>
      </w:r>
      <w:hyperlink r:id="rId4" w:history="1">
        <w:r w:rsidRPr="0036113E">
          <w:rPr>
            <w:rStyle w:val="Hyperlink"/>
            <w:rFonts w:ascii="Arial" w:eastAsiaTheme="majorEastAsia" w:hAnsi="Arial" w:cs="Arial"/>
            <w:i/>
            <w:iCs/>
            <w:sz w:val="22"/>
            <w:szCs w:val="22"/>
          </w:rPr>
          <w:t>mehler-systems.com</w:t>
        </w:r>
      </w:hyperlink>
    </w:p>
    <w:p w14:paraId="08F9E8B2"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p>
    <w:p w14:paraId="711E4417"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r w:rsidRPr="0036113E">
        <w:rPr>
          <w:rStyle w:val="Strong"/>
          <w:rFonts w:ascii="Arial" w:eastAsiaTheme="majorEastAsia" w:hAnsi="Arial" w:cs="Arial"/>
          <w:i/>
          <w:iCs/>
          <w:sz w:val="22"/>
          <w:szCs w:val="22"/>
        </w:rPr>
        <w:t>Media Contact:</w:t>
      </w:r>
    </w:p>
    <w:p w14:paraId="312721EA"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r w:rsidRPr="0036113E">
        <w:rPr>
          <w:rStyle w:val="Emphasis"/>
          <w:rFonts w:ascii="Arial" w:eastAsiaTheme="majorEastAsia" w:hAnsi="Arial" w:cs="Arial"/>
          <w:sz w:val="22"/>
          <w:szCs w:val="22"/>
        </w:rPr>
        <w:t>Marina Brankovič</w:t>
      </w:r>
    </w:p>
    <w:p w14:paraId="454CD5B7"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r w:rsidRPr="0036113E">
        <w:rPr>
          <w:rStyle w:val="Emphasis"/>
          <w:rFonts w:ascii="Arial" w:eastAsiaTheme="majorEastAsia" w:hAnsi="Arial" w:cs="Arial"/>
          <w:sz w:val="22"/>
          <w:szCs w:val="22"/>
        </w:rPr>
        <w:t>Content Manager</w:t>
      </w:r>
    </w:p>
    <w:p w14:paraId="2FAFA0CD" w14:textId="77777777" w:rsidR="0036113E" w:rsidRPr="0036113E" w:rsidRDefault="0036113E" w:rsidP="0036113E">
      <w:pPr>
        <w:pStyle w:val="NormalWeb"/>
        <w:spacing w:before="0" w:beforeAutospacing="0" w:after="0" w:afterAutospacing="0" w:line="360" w:lineRule="auto"/>
        <w:jc w:val="both"/>
        <w:rPr>
          <w:rFonts w:ascii="Arial" w:hAnsi="Arial" w:cs="Arial"/>
          <w:sz w:val="22"/>
          <w:szCs w:val="22"/>
        </w:rPr>
      </w:pPr>
      <w:hyperlink r:id="rId5" w:history="1">
        <w:r w:rsidRPr="0036113E">
          <w:rPr>
            <w:rStyle w:val="Hyperlink"/>
            <w:rFonts w:ascii="Arial" w:eastAsiaTheme="majorEastAsia" w:hAnsi="Arial" w:cs="Arial"/>
            <w:i/>
            <w:iCs/>
            <w:sz w:val="22"/>
            <w:szCs w:val="22"/>
          </w:rPr>
          <w:t>marina.brankovic@ufpro.si</w:t>
        </w:r>
      </w:hyperlink>
    </w:p>
    <w:p w14:paraId="4B3B4E58" w14:textId="77777777" w:rsidR="0036113E" w:rsidRPr="0036113E" w:rsidRDefault="0036113E" w:rsidP="0036113E">
      <w:pPr>
        <w:spacing w:after="0" w:line="360" w:lineRule="auto"/>
        <w:jc w:val="both"/>
        <w:rPr>
          <w:rFonts w:ascii="Arial" w:hAnsi="Arial" w:cs="Arial"/>
          <w:sz w:val="22"/>
          <w:szCs w:val="22"/>
        </w:rPr>
      </w:pPr>
    </w:p>
    <w:sectPr w:rsidR="0036113E" w:rsidRPr="00361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06"/>
    <w:rsid w:val="00022006"/>
    <w:rsid w:val="00106A09"/>
    <w:rsid w:val="0036113E"/>
    <w:rsid w:val="00A57860"/>
    <w:rsid w:val="00CC2A46"/>
    <w:rsid w:val="00CD132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9E4784B"/>
  <w15:chartTrackingRefBased/>
  <w15:docId w15:val="{FC1FFCC6-F412-8440-A149-60ADE59C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2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2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06"/>
    <w:rPr>
      <w:rFonts w:eastAsiaTheme="majorEastAsia" w:cstheme="majorBidi"/>
      <w:color w:val="272727" w:themeColor="text1" w:themeTint="D8"/>
    </w:rPr>
  </w:style>
  <w:style w:type="paragraph" w:styleId="Title">
    <w:name w:val="Title"/>
    <w:basedOn w:val="Normal"/>
    <w:next w:val="Normal"/>
    <w:link w:val="TitleChar"/>
    <w:uiPriority w:val="10"/>
    <w:qFormat/>
    <w:rsid w:val="00022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06"/>
    <w:pPr>
      <w:spacing w:before="160"/>
      <w:jc w:val="center"/>
    </w:pPr>
    <w:rPr>
      <w:i/>
      <w:iCs/>
      <w:color w:val="404040" w:themeColor="text1" w:themeTint="BF"/>
    </w:rPr>
  </w:style>
  <w:style w:type="character" w:customStyle="1" w:styleId="QuoteChar">
    <w:name w:val="Quote Char"/>
    <w:basedOn w:val="DefaultParagraphFont"/>
    <w:link w:val="Quote"/>
    <w:uiPriority w:val="29"/>
    <w:rsid w:val="00022006"/>
    <w:rPr>
      <w:i/>
      <w:iCs/>
      <w:color w:val="404040" w:themeColor="text1" w:themeTint="BF"/>
    </w:rPr>
  </w:style>
  <w:style w:type="paragraph" w:styleId="ListParagraph">
    <w:name w:val="List Paragraph"/>
    <w:basedOn w:val="Normal"/>
    <w:uiPriority w:val="34"/>
    <w:qFormat/>
    <w:rsid w:val="00022006"/>
    <w:pPr>
      <w:ind w:left="720"/>
      <w:contextualSpacing/>
    </w:pPr>
  </w:style>
  <w:style w:type="character" w:styleId="IntenseEmphasis">
    <w:name w:val="Intense Emphasis"/>
    <w:basedOn w:val="DefaultParagraphFont"/>
    <w:uiPriority w:val="21"/>
    <w:qFormat/>
    <w:rsid w:val="00022006"/>
    <w:rPr>
      <w:i/>
      <w:iCs/>
      <w:color w:val="0F4761" w:themeColor="accent1" w:themeShade="BF"/>
    </w:rPr>
  </w:style>
  <w:style w:type="paragraph" w:styleId="IntenseQuote">
    <w:name w:val="Intense Quote"/>
    <w:basedOn w:val="Normal"/>
    <w:next w:val="Normal"/>
    <w:link w:val="IntenseQuoteChar"/>
    <w:uiPriority w:val="30"/>
    <w:qFormat/>
    <w:rsid w:val="00022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006"/>
    <w:rPr>
      <w:i/>
      <w:iCs/>
      <w:color w:val="0F4761" w:themeColor="accent1" w:themeShade="BF"/>
    </w:rPr>
  </w:style>
  <w:style w:type="character" w:styleId="IntenseReference">
    <w:name w:val="Intense Reference"/>
    <w:basedOn w:val="DefaultParagraphFont"/>
    <w:uiPriority w:val="32"/>
    <w:qFormat/>
    <w:rsid w:val="00022006"/>
    <w:rPr>
      <w:b/>
      <w:bCs/>
      <w:smallCaps/>
      <w:color w:val="0F4761" w:themeColor="accent1" w:themeShade="BF"/>
      <w:spacing w:val="5"/>
    </w:rPr>
  </w:style>
  <w:style w:type="paragraph" w:styleId="NormalWeb">
    <w:name w:val="Normal (Web)"/>
    <w:basedOn w:val="Normal"/>
    <w:uiPriority w:val="99"/>
    <w:semiHidden/>
    <w:unhideWhenUsed/>
    <w:rsid w:val="000220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2006"/>
    <w:rPr>
      <w:b/>
      <w:bCs/>
    </w:rPr>
  </w:style>
  <w:style w:type="character" w:styleId="Emphasis">
    <w:name w:val="Emphasis"/>
    <w:basedOn w:val="DefaultParagraphFont"/>
    <w:uiPriority w:val="20"/>
    <w:qFormat/>
    <w:rsid w:val="0036113E"/>
    <w:rPr>
      <w:i/>
      <w:iCs/>
    </w:rPr>
  </w:style>
  <w:style w:type="character" w:styleId="Hyperlink">
    <w:name w:val="Hyperlink"/>
    <w:basedOn w:val="DefaultParagraphFont"/>
    <w:uiPriority w:val="99"/>
    <w:semiHidden/>
    <w:unhideWhenUsed/>
    <w:rsid w:val="0036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2026-05-08T09:24:00Z</dcterms:created>
  <dcterms:modified xsi:type="dcterms:W3CDTF">2026-05-08T09:24:00Z</dcterms:modified>
</cp:coreProperties>
</file>