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D6FA6" w14:textId="77777777" w:rsidR="00CC44EB" w:rsidRPr="00456CB2" w:rsidRDefault="00CC44EB" w:rsidP="00456CB2">
      <w:pPr>
        <w:spacing w:after="0" w:line="360" w:lineRule="auto"/>
        <w:jc w:val="both"/>
        <w:outlineLvl w:val="0"/>
        <w:rPr>
          <w:rFonts w:ascii="Arial" w:eastAsia="Times New Roman" w:hAnsi="Arial" w:cs="Arial"/>
          <w:b/>
          <w:bCs/>
          <w:kern w:val="36"/>
          <w:sz w:val="22"/>
          <w:szCs w:val="22"/>
          <w14:ligatures w14:val="none"/>
        </w:rPr>
      </w:pPr>
      <w:r w:rsidRPr="00456CB2">
        <w:rPr>
          <w:rFonts w:ascii="Arial" w:eastAsia="Times New Roman" w:hAnsi="Arial" w:cs="Arial"/>
          <w:b/>
          <w:bCs/>
          <w:kern w:val="36"/>
          <w:sz w:val="22"/>
          <w:szCs w:val="22"/>
          <w14:ligatures w14:val="none"/>
        </w:rPr>
        <w:t>Mehler Protection Highlights Presence at DSA 2026 and Milipol TechX Asia 2026</w:t>
      </w:r>
    </w:p>
    <w:p w14:paraId="37FE6EB7" w14:textId="77777777" w:rsidR="00CC44EB" w:rsidRPr="00456CB2" w:rsidRDefault="00CC44EB" w:rsidP="00456CB2">
      <w:pPr>
        <w:spacing w:after="0" w:line="360" w:lineRule="auto"/>
        <w:jc w:val="both"/>
        <w:outlineLvl w:val="0"/>
        <w:rPr>
          <w:rFonts w:ascii="Arial" w:eastAsia="Times New Roman" w:hAnsi="Arial" w:cs="Arial"/>
          <w:b/>
          <w:bCs/>
          <w:kern w:val="36"/>
          <w:sz w:val="22"/>
          <w:szCs w:val="22"/>
          <w14:ligatures w14:val="none"/>
        </w:rPr>
      </w:pPr>
    </w:p>
    <w:p w14:paraId="7F1103A0" w14:textId="77777777" w:rsidR="00CC44EB" w:rsidRPr="00456CB2" w:rsidRDefault="00CC44EB" w:rsidP="00456CB2">
      <w:pPr>
        <w:spacing w:after="0" w:line="360" w:lineRule="auto"/>
        <w:jc w:val="both"/>
        <w:rPr>
          <w:rFonts w:ascii="Arial" w:eastAsia="Times New Roman" w:hAnsi="Arial" w:cs="Arial"/>
          <w:b/>
          <w:bCs/>
          <w:kern w:val="0"/>
          <w:sz w:val="22"/>
          <w:szCs w:val="22"/>
          <w14:ligatures w14:val="none"/>
        </w:rPr>
      </w:pPr>
      <w:r w:rsidRPr="00456CB2">
        <w:rPr>
          <w:rFonts w:ascii="Arial" w:eastAsia="Times New Roman" w:hAnsi="Arial" w:cs="Arial"/>
          <w:b/>
          <w:bCs/>
          <w:kern w:val="0"/>
          <w:sz w:val="22"/>
          <w:szCs w:val="22"/>
          <w14:ligatures w14:val="none"/>
        </w:rPr>
        <w:t>FULDA, GERMANY (5 May 2026)</w:t>
      </w:r>
    </w:p>
    <w:p w14:paraId="539A41A4" w14:textId="77777777" w:rsidR="00CC44EB" w:rsidRPr="00456CB2" w:rsidRDefault="00CC44EB" w:rsidP="00456CB2">
      <w:pPr>
        <w:spacing w:after="0" w:line="360" w:lineRule="auto"/>
        <w:jc w:val="both"/>
        <w:rPr>
          <w:rFonts w:ascii="Arial" w:eastAsia="Times New Roman" w:hAnsi="Arial" w:cs="Arial"/>
          <w:kern w:val="0"/>
          <w:sz w:val="22"/>
          <w:szCs w:val="22"/>
          <w14:ligatures w14:val="none"/>
        </w:rPr>
      </w:pPr>
    </w:p>
    <w:p w14:paraId="4AC5068A" w14:textId="77777777" w:rsidR="00CC44EB" w:rsidRPr="00456CB2" w:rsidRDefault="00CC44EB" w:rsidP="00456CB2">
      <w:pPr>
        <w:spacing w:after="0" w:line="360" w:lineRule="auto"/>
        <w:jc w:val="both"/>
        <w:rPr>
          <w:rFonts w:ascii="Arial" w:eastAsia="Times New Roman" w:hAnsi="Arial" w:cs="Arial"/>
          <w:kern w:val="0"/>
          <w:sz w:val="22"/>
          <w:szCs w:val="22"/>
          <w14:ligatures w14:val="none"/>
        </w:rPr>
      </w:pPr>
      <w:r w:rsidRPr="00456CB2">
        <w:rPr>
          <w:rFonts w:ascii="Arial" w:eastAsia="Times New Roman" w:hAnsi="Arial" w:cs="Arial"/>
          <w:kern w:val="0"/>
          <w:sz w:val="22"/>
          <w:szCs w:val="22"/>
          <w14:ligatures w14:val="none"/>
        </w:rPr>
        <w:t>Mehler Protection was present at two key security and defence exhibitions in the Asia-Pacific region: Defence Services Asia (DSA) 2026 in Kuala Lumpur, Malaysia, and Milipol TechX Asia 2026 in Singapore.</w:t>
      </w:r>
    </w:p>
    <w:p w14:paraId="0BE09254" w14:textId="77777777" w:rsidR="00CC44EB" w:rsidRPr="00456CB2" w:rsidRDefault="00CC44EB" w:rsidP="00456CB2">
      <w:pPr>
        <w:spacing w:after="0" w:line="360" w:lineRule="auto"/>
        <w:jc w:val="both"/>
        <w:rPr>
          <w:rFonts w:ascii="Arial" w:eastAsia="Times New Roman" w:hAnsi="Arial" w:cs="Arial"/>
          <w:kern w:val="0"/>
          <w:sz w:val="22"/>
          <w:szCs w:val="22"/>
          <w14:ligatures w14:val="none"/>
        </w:rPr>
      </w:pPr>
    </w:p>
    <w:p w14:paraId="0398A7E4" w14:textId="77777777" w:rsidR="00CC44EB" w:rsidRPr="00456CB2" w:rsidRDefault="00CC44EB" w:rsidP="00456CB2">
      <w:pPr>
        <w:spacing w:after="0" w:line="360" w:lineRule="auto"/>
        <w:jc w:val="both"/>
        <w:rPr>
          <w:rFonts w:ascii="Arial" w:eastAsia="Times New Roman" w:hAnsi="Arial" w:cs="Arial"/>
          <w:kern w:val="0"/>
          <w:sz w:val="22"/>
          <w:szCs w:val="22"/>
          <w14:ligatures w14:val="none"/>
        </w:rPr>
      </w:pPr>
      <w:r w:rsidRPr="00456CB2">
        <w:rPr>
          <w:rFonts w:ascii="Arial" w:eastAsia="Times New Roman" w:hAnsi="Arial" w:cs="Arial"/>
          <w:kern w:val="0"/>
          <w:sz w:val="22"/>
          <w:szCs w:val="22"/>
          <w14:ligatures w14:val="none"/>
        </w:rPr>
        <w:t>DSA, held from 20 to 23 April 2026, brought together military, law enforcement, and government stakeholders from across the region. This was followed by Milipol TechX Asia from 28 to 30 April 2026, with a focus on public safety and technology-driven solutions.</w:t>
      </w:r>
    </w:p>
    <w:p w14:paraId="4437C7B5" w14:textId="77777777" w:rsidR="00CC44EB" w:rsidRPr="00456CB2" w:rsidRDefault="00CC44EB" w:rsidP="00456CB2">
      <w:pPr>
        <w:spacing w:after="0" w:line="360" w:lineRule="auto"/>
        <w:jc w:val="both"/>
        <w:rPr>
          <w:rFonts w:ascii="Arial" w:eastAsia="Times New Roman" w:hAnsi="Arial" w:cs="Arial"/>
          <w:kern w:val="0"/>
          <w:sz w:val="22"/>
          <w:szCs w:val="22"/>
          <w14:ligatures w14:val="none"/>
        </w:rPr>
      </w:pPr>
    </w:p>
    <w:p w14:paraId="126D7B72" w14:textId="77777777" w:rsidR="00CC44EB" w:rsidRPr="00456CB2" w:rsidRDefault="00CC44EB" w:rsidP="00456CB2">
      <w:pPr>
        <w:spacing w:after="0" w:line="360" w:lineRule="auto"/>
        <w:jc w:val="both"/>
        <w:rPr>
          <w:rFonts w:ascii="Arial" w:eastAsia="Times New Roman" w:hAnsi="Arial" w:cs="Arial"/>
          <w:kern w:val="0"/>
          <w:sz w:val="22"/>
          <w:szCs w:val="22"/>
          <w14:ligatures w14:val="none"/>
        </w:rPr>
      </w:pPr>
      <w:r w:rsidRPr="00456CB2">
        <w:rPr>
          <w:rFonts w:ascii="Arial" w:eastAsia="Times New Roman" w:hAnsi="Arial" w:cs="Arial"/>
          <w:kern w:val="0"/>
          <w:sz w:val="22"/>
          <w:szCs w:val="22"/>
          <w14:ligatures w14:val="none"/>
        </w:rPr>
        <w:t>At both events, Mehler Protection presented a selection of its modular personal protection solutions. At the centre was the M.U.S.T. (Modular Universal Scalable Technology), built around a scalable approach that allows protection to be configured depending on mission requirements and threat levels. The MOBAST programme was also part of the showcase, reflecting the company’s experience in delivering large-scale modular vest systems.</w:t>
      </w:r>
    </w:p>
    <w:p w14:paraId="2085D3AD" w14:textId="77777777" w:rsidR="00CC44EB" w:rsidRPr="00456CB2" w:rsidRDefault="00CC44EB" w:rsidP="00456CB2">
      <w:pPr>
        <w:spacing w:after="0" w:line="360" w:lineRule="auto"/>
        <w:jc w:val="both"/>
        <w:rPr>
          <w:rFonts w:ascii="Arial" w:eastAsia="Times New Roman" w:hAnsi="Arial" w:cs="Arial"/>
          <w:kern w:val="0"/>
          <w:sz w:val="22"/>
          <w:szCs w:val="22"/>
          <w14:ligatures w14:val="none"/>
        </w:rPr>
      </w:pPr>
    </w:p>
    <w:p w14:paraId="0D257EF0" w14:textId="77777777" w:rsidR="00CC44EB" w:rsidRPr="00456CB2" w:rsidRDefault="00CC44EB" w:rsidP="00456CB2">
      <w:pPr>
        <w:spacing w:after="0" w:line="360" w:lineRule="auto"/>
        <w:jc w:val="both"/>
        <w:rPr>
          <w:rFonts w:ascii="Arial" w:eastAsia="Times New Roman" w:hAnsi="Arial" w:cs="Arial"/>
          <w:kern w:val="0"/>
          <w:sz w:val="22"/>
          <w:szCs w:val="22"/>
          <w14:ligatures w14:val="none"/>
        </w:rPr>
      </w:pPr>
      <w:r w:rsidRPr="00456CB2">
        <w:rPr>
          <w:rFonts w:ascii="Arial" w:eastAsia="Times New Roman" w:hAnsi="Arial" w:cs="Arial"/>
          <w:kern w:val="0"/>
          <w:sz w:val="22"/>
          <w:szCs w:val="22"/>
          <w14:ligatures w14:val="none"/>
        </w:rPr>
        <w:t>A key part of the display was the Protec Flex system, shown as a complete riot gear setup including torso, arm, groin, and leg protection, along with gloves, helmet, and shield. The system is designed to provide adaptable coverage while maintaining mobility in public order scenarios.</w:t>
      </w:r>
    </w:p>
    <w:p w14:paraId="612A6DE1" w14:textId="77777777" w:rsidR="00CC44EB" w:rsidRPr="00456CB2" w:rsidRDefault="00CC44EB" w:rsidP="00456CB2">
      <w:pPr>
        <w:spacing w:after="0" w:line="360" w:lineRule="auto"/>
        <w:jc w:val="both"/>
        <w:rPr>
          <w:rFonts w:ascii="Arial" w:eastAsia="Times New Roman" w:hAnsi="Arial" w:cs="Arial"/>
          <w:kern w:val="0"/>
          <w:sz w:val="22"/>
          <w:szCs w:val="22"/>
          <w14:ligatures w14:val="none"/>
        </w:rPr>
      </w:pPr>
    </w:p>
    <w:p w14:paraId="72836B57" w14:textId="77777777" w:rsidR="00CC44EB" w:rsidRPr="00456CB2" w:rsidRDefault="00CC44EB" w:rsidP="00456CB2">
      <w:pPr>
        <w:spacing w:after="0" w:line="360" w:lineRule="auto"/>
        <w:jc w:val="both"/>
        <w:rPr>
          <w:rFonts w:ascii="Arial" w:eastAsia="Times New Roman" w:hAnsi="Arial" w:cs="Arial"/>
          <w:kern w:val="0"/>
          <w:sz w:val="22"/>
          <w:szCs w:val="22"/>
          <w14:ligatures w14:val="none"/>
        </w:rPr>
      </w:pPr>
      <w:r w:rsidRPr="00456CB2">
        <w:rPr>
          <w:rFonts w:ascii="Arial" w:eastAsia="Times New Roman" w:hAnsi="Arial" w:cs="Arial"/>
          <w:kern w:val="0"/>
          <w:sz w:val="22"/>
          <w:szCs w:val="22"/>
          <w14:ligatures w14:val="none"/>
        </w:rPr>
        <w:t>The portfolio on display also included covert vest configurations for low-visibility operations, as well as waistcoats, plate carriers, hard ballistic plates, and soft ballistic panels. Helmets and ballistic shields completed the setup, supporting integration across different operational roles.</w:t>
      </w:r>
    </w:p>
    <w:p w14:paraId="36B9E49D" w14:textId="77777777" w:rsidR="00CC44EB" w:rsidRPr="00456CB2" w:rsidRDefault="00CC44EB" w:rsidP="00456CB2">
      <w:pPr>
        <w:spacing w:after="0" w:line="360" w:lineRule="auto"/>
        <w:jc w:val="both"/>
        <w:rPr>
          <w:rFonts w:ascii="Arial" w:eastAsia="Times New Roman" w:hAnsi="Arial" w:cs="Arial"/>
          <w:kern w:val="0"/>
          <w:sz w:val="22"/>
          <w:szCs w:val="22"/>
          <w14:ligatures w14:val="none"/>
        </w:rPr>
      </w:pPr>
      <w:r w:rsidRPr="00456CB2">
        <w:rPr>
          <w:rFonts w:ascii="Arial" w:eastAsia="Times New Roman" w:hAnsi="Arial" w:cs="Arial"/>
          <w:kern w:val="0"/>
          <w:sz w:val="22"/>
          <w:szCs w:val="22"/>
          <w14:ligatures w14:val="none"/>
        </w:rPr>
        <w:t>At Milipol TechX Asia 2026, the presentation additionally included the ExoM Exoskeleton, designed to support load carriage and reduce physical strain during extended use.</w:t>
      </w:r>
    </w:p>
    <w:p w14:paraId="76F76A1B" w14:textId="77777777" w:rsidR="00CC44EB" w:rsidRPr="00456CB2" w:rsidRDefault="00CC44EB" w:rsidP="00456CB2">
      <w:pPr>
        <w:spacing w:after="0" w:line="360" w:lineRule="auto"/>
        <w:jc w:val="both"/>
        <w:rPr>
          <w:rFonts w:ascii="Arial" w:eastAsia="Times New Roman" w:hAnsi="Arial" w:cs="Arial"/>
          <w:kern w:val="0"/>
          <w:sz w:val="22"/>
          <w:szCs w:val="22"/>
          <w14:ligatures w14:val="none"/>
        </w:rPr>
      </w:pPr>
    </w:p>
    <w:p w14:paraId="14842631" w14:textId="77777777" w:rsidR="00CC44EB" w:rsidRPr="00456CB2" w:rsidRDefault="00CC44EB" w:rsidP="00456CB2">
      <w:pPr>
        <w:spacing w:after="0" w:line="360" w:lineRule="auto"/>
        <w:jc w:val="both"/>
        <w:rPr>
          <w:rFonts w:ascii="Arial" w:eastAsia="Times New Roman" w:hAnsi="Arial" w:cs="Arial"/>
          <w:kern w:val="0"/>
          <w:sz w:val="22"/>
          <w:szCs w:val="22"/>
          <w14:ligatures w14:val="none"/>
        </w:rPr>
      </w:pPr>
      <w:r w:rsidRPr="00456CB2">
        <w:rPr>
          <w:rFonts w:ascii="Arial" w:eastAsia="Times New Roman" w:hAnsi="Arial" w:cs="Arial"/>
          <w:kern w:val="0"/>
          <w:sz w:val="22"/>
          <w:szCs w:val="22"/>
          <w14:ligatures w14:val="none"/>
        </w:rPr>
        <w:t>Both exhibitions provided the opportunity to meet with regional partners, procurement representatives, and operational users. The discussions focused on current requirements, practical use cases, and system adaptability across different environments.</w:t>
      </w:r>
    </w:p>
    <w:p w14:paraId="1E010C7B" w14:textId="77777777" w:rsidR="00CC44EB" w:rsidRPr="00456CB2" w:rsidRDefault="00CC44EB" w:rsidP="00456CB2">
      <w:pPr>
        <w:spacing w:after="0" w:line="360" w:lineRule="auto"/>
        <w:jc w:val="both"/>
        <w:rPr>
          <w:rFonts w:ascii="Arial" w:eastAsia="Times New Roman" w:hAnsi="Arial" w:cs="Arial"/>
          <w:kern w:val="0"/>
          <w:sz w:val="22"/>
          <w:szCs w:val="22"/>
          <w14:ligatures w14:val="none"/>
        </w:rPr>
      </w:pPr>
    </w:p>
    <w:p w14:paraId="19C15AA6" w14:textId="433AB62A" w:rsidR="00456CB2" w:rsidRPr="00456CB2" w:rsidRDefault="00CC44EB" w:rsidP="00456CB2">
      <w:pPr>
        <w:spacing w:after="0" w:line="360" w:lineRule="auto"/>
        <w:jc w:val="both"/>
        <w:rPr>
          <w:rFonts w:ascii="Arial" w:eastAsia="Times New Roman" w:hAnsi="Arial" w:cs="Arial"/>
          <w:kern w:val="0"/>
          <w:sz w:val="22"/>
          <w:szCs w:val="22"/>
          <w14:ligatures w14:val="none"/>
        </w:rPr>
      </w:pPr>
      <w:r w:rsidRPr="00456CB2">
        <w:rPr>
          <w:rFonts w:ascii="Arial" w:eastAsia="Times New Roman" w:hAnsi="Arial" w:cs="Arial"/>
          <w:kern w:val="0"/>
          <w:sz w:val="22"/>
          <w:szCs w:val="22"/>
          <w14:ligatures w14:val="none"/>
        </w:rPr>
        <w:t>Mehler Protection’s presence at both events reflects its continued engagement in the Asia-Pacific region and ongoing cooperation with partners on the ground.</w:t>
      </w:r>
    </w:p>
    <w:p w14:paraId="48352F65" w14:textId="77777777" w:rsidR="00456CB2" w:rsidRPr="00456CB2" w:rsidRDefault="00456CB2" w:rsidP="00456CB2">
      <w:pPr>
        <w:pStyle w:val="NormalWeb"/>
        <w:spacing w:before="0" w:beforeAutospacing="0" w:after="0" w:afterAutospacing="0" w:line="360" w:lineRule="auto"/>
        <w:jc w:val="both"/>
        <w:rPr>
          <w:rFonts w:ascii="Arial" w:hAnsi="Arial" w:cs="Arial"/>
          <w:sz w:val="22"/>
          <w:szCs w:val="22"/>
        </w:rPr>
      </w:pPr>
      <w:r w:rsidRPr="00456CB2">
        <w:rPr>
          <w:rStyle w:val="Strong"/>
          <w:rFonts w:ascii="Arial" w:eastAsiaTheme="majorEastAsia" w:hAnsi="Arial" w:cs="Arial"/>
          <w:i/>
          <w:iCs/>
          <w:sz w:val="22"/>
          <w:szCs w:val="22"/>
        </w:rPr>
        <w:lastRenderedPageBreak/>
        <w:t>About Mehler Protection:</w:t>
      </w:r>
    </w:p>
    <w:p w14:paraId="3B681CA5" w14:textId="77777777" w:rsidR="00456CB2" w:rsidRDefault="00456CB2" w:rsidP="00456CB2">
      <w:pPr>
        <w:pStyle w:val="NormalWeb"/>
        <w:spacing w:before="0" w:beforeAutospacing="0" w:after="0" w:afterAutospacing="0" w:line="360" w:lineRule="auto"/>
        <w:jc w:val="both"/>
        <w:rPr>
          <w:rStyle w:val="Emphasis"/>
          <w:rFonts w:ascii="Arial" w:eastAsiaTheme="majorEastAsia" w:hAnsi="Arial" w:cs="Arial"/>
          <w:sz w:val="22"/>
          <w:szCs w:val="22"/>
        </w:rPr>
      </w:pPr>
      <w:r w:rsidRPr="00456CB2">
        <w:rPr>
          <w:rStyle w:val="Emphasis"/>
          <w:rFonts w:ascii="Arial" w:eastAsiaTheme="majorEastAsia" w:hAnsi="Arial" w:cs="Arial"/>
          <w:sz w:val="22"/>
          <w:szCs w:val="22"/>
        </w:rPr>
        <w:t>Mehler Protection is a leading provider of high-quality ballistic protection systems for law enforcement agencies, military, and special forces. The company is committed to safety, providing innovative and robust solutions tailored to mission-specific requirements. Its portfolio includes ballistic body armour, stab and cut protection, helmets, shields, and platform armour for naval, air, and land vehicles, as well as critical infrastructure.</w:t>
      </w:r>
    </w:p>
    <w:p w14:paraId="3BF40547" w14:textId="77777777" w:rsidR="00456CB2" w:rsidRPr="00456CB2" w:rsidRDefault="00456CB2" w:rsidP="00456CB2">
      <w:pPr>
        <w:pStyle w:val="NormalWeb"/>
        <w:spacing w:before="0" w:beforeAutospacing="0" w:after="0" w:afterAutospacing="0" w:line="360" w:lineRule="auto"/>
        <w:jc w:val="both"/>
        <w:rPr>
          <w:rFonts w:ascii="Arial" w:hAnsi="Arial" w:cs="Arial"/>
          <w:sz w:val="22"/>
          <w:szCs w:val="22"/>
        </w:rPr>
      </w:pPr>
    </w:p>
    <w:p w14:paraId="241FAF73" w14:textId="77777777" w:rsidR="00456CB2" w:rsidRDefault="00456CB2" w:rsidP="00456CB2">
      <w:pPr>
        <w:pStyle w:val="NormalWeb"/>
        <w:spacing w:before="0" w:beforeAutospacing="0" w:after="0" w:afterAutospacing="0" w:line="360" w:lineRule="auto"/>
        <w:jc w:val="both"/>
        <w:rPr>
          <w:rStyle w:val="Emphasis"/>
          <w:rFonts w:ascii="Arial" w:eastAsiaTheme="majorEastAsia" w:hAnsi="Arial" w:cs="Arial"/>
          <w:sz w:val="22"/>
          <w:szCs w:val="22"/>
        </w:rPr>
      </w:pPr>
      <w:r w:rsidRPr="00456CB2">
        <w:rPr>
          <w:rStyle w:val="Emphasis"/>
          <w:rFonts w:ascii="Arial" w:eastAsiaTheme="majorEastAsia" w:hAnsi="Arial" w:cs="Arial"/>
          <w:sz w:val="22"/>
          <w:szCs w:val="22"/>
        </w:rPr>
        <w:t>As part of the Mehler Systems Group, Mehler Protection draws on over four decades of experience in developing and manufacturing customised protection solutions.</w:t>
      </w:r>
    </w:p>
    <w:p w14:paraId="644DD0FB" w14:textId="77777777" w:rsidR="00456CB2" w:rsidRPr="00456CB2" w:rsidRDefault="00456CB2" w:rsidP="00456CB2">
      <w:pPr>
        <w:pStyle w:val="NormalWeb"/>
        <w:spacing w:before="0" w:beforeAutospacing="0" w:after="0" w:afterAutospacing="0" w:line="360" w:lineRule="auto"/>
        <w:jc w:val="both"/>
        <w:rPr>
          <w:rFonts w:ascii="Arial" w:hAnsi="Arial" w:cs="Arial"/>
          <w:sz w:val="22"/>
          <w:szCs w:val="22"/>
        </w:rPr>
      </w:pPr>
    </w:p>
    <w:p w14:paraId="6E9A8985" w14:textId="77777777" w:rsidR="00456CB2" w:rsidRPr="00456CB2" w:rsidRDefault="00456CB2" w:rsidP="00456CB2">
      <w:pPr>
        <w:pStyle w:val="NormalWeb"/>
        <w:spacing w:before="0" w:beforeAutospacing="0" w:after="0" w:afterAutospacing="0" w:line="360" w:lineRule="auto"/>
        <w:jc w:val="both"/>
        <w:rPr>
          <w:rFonts w:ascii="Arial" w:hAnsi="Arial" w:cs="Arial"/>
          <w:sz w:val="22"/>
          <w:szCs w:val="22"/>
        </w:rPr>
      </w:pPr>
      <w:r w:rsidRPr="00456CB2">
        <w:rPr>
          <w:rStyle w:val="Strong"/>
          <w:rFonts w:ascii="Arial" w:eastAsiaTheme="majorEastAsia" w:hAnsi="Arial" w:cs="Arial"/>
          <w:i/>
          <w:iCs/>
          <w:sz w:val="22"/>
          <w:szCs w:val="22"/>
        </w:rPr>
        <w:t>Media Contact:</w:t>
      </w:r>
    </w:p>
    <w:p w14:paraId="399A9CBE" w14:textId="77777777" w:rsidR="00456CB2" w:rsidRPr="00456CB2" w:rsidRDefault="00456CB2" w:rsidP="00456CB2">
      <w:pPr>
        <w:pStyle w:val="NormalWeb"/>
        <w:spacing w:before="0" w:beforeAutospacing="0" w:after="0" w:afterAutospacing="0" w:line="360" w:lineRule="auto"/>
        <w:jc w:val="both"/>
        <w:rPr>
          <w:rFonts w:ascii="Arial" w:hAnsi="Arial" w:cs="Arial"/>
          <w:sz w:val="22"/>
          <w:szCs w:val="22"/>
        </w:rPr>
      </w:pPr>
      <w:r w:rsidRPr="00456CB2">
        <w:rPr>
          <w:rStyle w:val="Emphasis"/>
          <w:rFonts w:ascii="Arial" w:eastAsiaTheme="majorEastAsia" w:hAnsi="Arial" w:cs="Arial"/>
          <w:sz w:val="22"/>
          <w:szCs w:val="22"/>
        </w:rPr>
        <w:t>Philipp Somogyi</w:t>
      </w:r>
    </w:p>
    <w:p w14:paraId="7B7BEE60" w14:textId="77777777" w:rsidR="00456CB2" w:rsidRPr="00456CB2" w:rsidRDefault="00456CB2" w:rsidP="00456CB2">
      <w:pPr>
        <w:pStyle w:val="NormalWeb"/>
        <w:spacing w:before="0" w:beforeAutospacing="0" w:after="0" w:afterAutospacing="0" w:line="360" w:lineRule="auto"/>
        <w:jc w:val="both"/>
        <w:rPr>
          <w:rFonts w:ascii="Arial" w:hAnsi="Arial" w:cs="Arial"/>
          <w:sz w:val="22"/>
          <w:szCs w:val="22"/>
        </w:rPr>
      </w:pPr>
      <w:r w:rsidRPr="00456CB2">
        <w:rPr>
          <w:rStyle w:val="Emphasis"/>
          <w:rFonts w:ascii="Arial" w:eastAsiaTheme="majorEastAsia" w:hAnsi="Arial" w:cs="Arial"/>
          <w:sz w:val="22"/>
          <w:szCs w:val="22"/>
        </w:rPr>
        <w:t>Head of Marketing Body and Platform Armour</w:t>
      </w:r>
    </w:p>
    <w:p w14:paraId="5C74D268" w14:textId="77777777" w:rsidR="00456CB2" w:rsidRPr="00456CB2" w:rsidRDefault="00456CB2" w:rsidP="00456CB2">
      <w:pPr>
        <w:pStyle w:val="NormalWeb"/>
        <w:spacing w:before="0" w:beforeAutospacing="0" w:after="0" w:afterAutospacing="0" w:line="360" w:lineRule="auto"/>
        <w:jc w:val="both"/>
        <w:rPr>
          <w:rFonts w:ascii="Arial" w:hAnsi="Arial" w:cs="Arial"/>
          <w:sz w:val="22"/>
          <w:szCs w:val="22"/>
        </w:rPr>
      </w:pPr>
      <w:hyperlink r:id="rId4" w:history="1">
        <w:r w:rsidRPr="00456CB2">
          <w:rPr>
            <w:rStyle w:val="Strong"/>
            <w:rFonts w:ascii="Arial" w:eastAsiaTheme="majorEastAsia" w:hAnsi="Arial" w:cs="Arial"/>
            <w:i/>
            <w:iCs/>
            <w:color w:val="0000FF"/>
            <w:sz w:val="22"/>
            <w:szCs w:val="22"/>
            <w:u w:val="single"/>
          </w:rPr>
          <w:t>philipp.somogyi@mehler-systems.com</w:t>
        </w:r>
      </w:hyperlink>
    </w:p>
    <w:p w14:paraId="2AD65077" w14:textId="77777777" w:rsidR="00456CB2" w:rsidRPr="00456CB2" w:rsidRDefault="00456CB2" w:rsidP="00456CB2">
      <w:pPr>
        <w:spacing w:after="0" w:line="360" w:lineRule="auto"/>
        <w:jc w:val="both"/>
        <w:rPr>
          <w:rFonts w:ascii="Arial" w:eastAsia="Times New Roman" w:hAnsi="Arial" w:cs="Arial"/>
          <w:kern w:val="0"/>
          <w:sz w:val="22"/>
          <w:szCs w:val="22"/>
          <w14:ligatures w14:val="none"/>
        </w:rPr>
      </w:pPr>
    </w:p>
    <w:sectPr w:rsidR="00456CB2" w:rsidRPr="00456C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EB"/>
    <w:rsid w:val="000F7D01"/>
    <w:rsid w:val="00106A09"/>
    <w:rsid w:val="00456CB2"/>
    <w:rsid w:val="005C1329"/>
    <w:rsid w:val="0078118F"/>
    <w:rsid w:val="00A57860"/>
    <w:rsid w:val="00CC2A46"/>
    <w:rsid w:val="00CC44EB"/>
    <w:rsid w:val="00E93E4B"/>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71BD6B58"/>
  <w15:chartTrackingRefBased/>
  <w15:docId w15:val="{2C828E31-4119-D049-9244-286D32BD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4EB"/>
    <w:rPr>
      <w:rFonts w:eastAsiaTheme="majorEastAsia" w:cstheme="majorBidi"/>
      <w:color w:val="272727" w:themeColor="text1" w:themeTint="D8"/>
    </w:rPr>
  </w:style>
  <w:style w:type="paragraph" w:styleId="Title">
    <w:name w:val="Title"/>
    <w:basedOn w:val="Normal"/>
    <w:next w:val="Normal"/>
    <w:link w:val="TitleChar"/>
    <w:uiPriority w:val="10"/>
    <w:qFormat/>
    <w:rsid w:val="00CC4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4EB"/>
    <w:pPr>
      <w:spacing w:before="160"/>
      <w:jc w:val="center"/>
    </w:pPr>
    <w:rPr>
      <w:i/>
      <w:iCs/>
      <w:color w:val="404040" w:themeColor="text1" w:themeTint="BF"/>
    </w:rPr>
  </w:style>
  <w:style w:type="character" w:customStyle="1" w:styleId="QuoteChar">
    <w:name w:val="Quote Char"/>
    <w:basedOn w:val="DefaultParagraphFont"/>
    <w:link w:val="Quote"/>
    <w:uiPriority w:val="29"/>
    <w:rsid w:val="00CC44EB"/>
    <w:rPr>
      <w:i/>
      <w:iCs/>
      <w:color w:val="404040" w:themeColor="text1" w:themeTint="BF"/>
    </w:rPr>
  </w:style>
  <w:style w:type="paragraph" w:styleId="ListParagraph">
    <w:name w:val="List Paragraph"/>
    <w:basedOn w:val="Normal"/>
    <w:uiPriority w:val="34"/>
    <w:qFormat/>
    <w:rsid w:val="00CC44EB"/>
    <w:pPr>
      <w:ind w:left="720"/>
      <w:contextualSpacing/>
    </w:pPr>
  </w:style>
  <w:style w:type="character" w:styleId="IntenseEmphasis">
    <w:name w:val="Intense Emphasis"/>
    <w:basedOn w:val="DefaultParagraphFont"/>
    <w:uiPriority w:val="21"/>
    <w:qFormat/>
    <w:rsid w:val="00CC44EB"/>
    <w:rPr>
      <w:i/>
      <w:iCs/>
      <w:color w:val="0F4761" w:themeColor="accent1" w:themeShade="BF"/>
    </w:rPr>
  </w:style>
  <w:style w:type="paragraph" w:styleId="IntenseQuote">
    <w:name w:val="Intense Quote"/>
    <w:basedOn w:val="Normal"/>
    <w:next w:val="Normal"/>
    <w:link w:val="IntenseQuoteChar"/>
    <w:uiPriority w:val="30"/>
    <w:qFormat/>
    <w:rsid w:val="00CC4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4EB"/>
    <w:rPr>
      <w:i/>
      <w:iCs/>
      <w:color w:val="0F4761" w:themeColor="accent1" w:themeShade="BF"/>
    </w:rPr>
  </w:style>
  <w:style w:type="character" w:styleId="IntenseReference">
    <w:name w:val="Intense Reference"/>
    <w:basedOn w:val="DefaultParagraphFont"/>
    <w:uiPriority w:val="32"/>
    <w:qFormat/>
    <w:rsid w:val="00CC44EB"/>
    <w:rPr>
      <w:b/>
      <w:bCs/>
      <w:smallCaps/>
      <w:color w:val="0F4761" w:themeColor="accent1" w:themeShade="BF"/>
      <w:spacing w:val="5"/>
    </w:rPr>
  </w:style>
  <w:style w:type="character" w:styleId="Strong">
    <w:name w:val="Strong"/>
    <w:basedOn w:val="DefaultParagraphFont"/>
    <w:uiPriority w:val="22"/>
    <w:qFormat/>
    <w:rsid w:val="00CC44EB"/>
    <w:rPr>
      <w:b/>
      <w:bCs/>
    </w:rPr>
  </w:style>
  <w:style w:type="paragraph" w:styleId="NormalWeb">
    <w:name w:val="Normal (Web)"/>
    <w:basedOn w:val="Normal"/>
    <w:uiPriority w:val="99"/>
    <w:semiHidden/>
    <w:unhideWhenUsed/>
    <w:rsid w:val="00CC44E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tion-enable-hover">
    <w:name w:val="notion-enable-hover"/>
    <w:basedOn w:val="DefaultParagraphFont"/>
    <w:rsid w:val="00E93E4B"/>
  </w:style>
  <w:style w:type="character" w:styleId="Emphasis">
    <w:name w:val="Emphasis"/>
    <w:basedOn w:val="DefaultParagraphFont"/>
    <w:uiPriority w:val="20"/>
    <w:qFormat/>
    <w:rsid w:val="00456C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hilipp.somogyi@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5</cp:revision>
  <dcterms:created xsi:type="dcterms:W3CDTF">2026-05-05T13:47:00Z</dcterms:created>
  <dcterms:modified xsi:type="dcterms:W3CDTF">2026-05-06T11:17:00Z</dcterms:modified>
</cp:coreProperties>
</file>