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8478" w14:textId="77777777" w:rsidR="007E001D" w:rsidRPr="001D3DEF" w:rsidRDefault="007E001D" w:rsidP="001D3DEF">
      <w:pPr>
        <w:spacing w:after="0" w:line="360" w:lineRule="auto"/>
        <w:jc w:val="both"/>
        <w:outlineLvl w:val="0"/>
        <w:rPr>
          <w:rFonts w:ascii="Arial" w:eastAsia="Times New Roman" w:hAnsi="Arial" w:cs="Arial"/>
          <w:b/>
          <w:bCs/>
          <w:kern w:val="36"/>
          <w:sz w:val="22"/>
          <w:szCs w:val="22"/>
          <w14:ligatures w14:val="none"/>
        </w:rPr>
      </w:pPr>
      <w:proofErr w:type="spellStart"/>
      <w:r w:rsidRPr="001D3DEF">
        <w:rPr>
          <w:rFonts w:ascii="Arial" w:hAnsi="Arial" w:cs="Arial"/>
          <w:b/>
          <w:sz w:val="22"/>
          <w:szCs w:val="22"/>
        </w:rPr>
        <w:t>Lindnerhof</w:t>
      </w:r>
      <w:proofErr w:type="spellEnd"/>
      <w:r w:rsidRPr="001D3DEF">
        <w:rPr>
          <w:rFonts w:ascii="Arial" w:hAnsi="Arial" w:cs="Arial"/>
          <w:b/>
          <w:sz w:val="22"/>
          <w:szCs w:val="22"/>
        </w:rPr>
        <w:t xml:space="preserve"> élargit sa gamme avec des porte-chargeurs, des solutions utilitaires et des harnais ventraux</w:t>
      </w:r>
    </w:p>
    <w:p w14:paraId="7E3D9A70" w14:textId="77777777" w:rsidR="007E001D" w:rsidRPr="001D3DEF" w:rsidRDefault="007E001D" w:rsidP="001D3DEF">
      <w:pPr>
        <w:spacing w:after="0" w:line="360" w:lineRule="auto"/>
        <w:jc w:val="both"/>
        <w:outlineLvl w:val="0"/>
        <w:rPr>
          <w:rFonts w:ascii="Arial" w:eastAsia="Times New Roman" w:hAnsi="Arial" w:cs="Arial"/>
          <w:b/>
          <w:bCs/>
          <w:kern w:val="36"/>
          <w:sz w:val="22"/>
          <w:szCs w:val="22"/>
          <w14:ligatures w14:val="none"/>
        </w:rPr>
      </w:pPr>
    </w:p>
    <w:p w14:paraId="1BD6EEF9" w14:textId="14A460EE" w:rsidR="007E001D" w:rsidRPr="001D3DEF" w:rsidRDefault="007E001D" w:rsidP="001D3DEF">
      <w:pPr>
        <w:spacing w:after="0" w:line="360" w:lineRule="auto"/>
        <w:jc w:val="both"/>
        <w:rPr>
          <w:rFonts w:ascii="Arial" w:eastAsia="Times New Roman" w:hAnsi="Arial" w:cs="Arial"/>
          <w:b/>
          <w:bCs/>
          <w:kern w:val="0"/>
          <w:sz w:val="22"/>
          <w:szCs w:val="22"/>
          <w14:ligatures w14:val="none"/>
        </w:rPr>
      </w:pPr>
      <w:r w:rsidRPr="001D3DEF">
        <w:rPr>
          <w:rFonts w:ascii="Arial" w:hAnsi="Arial" w:cs="Arial"/>
          <w:b/>
          <w:sz w:val="22"/>
          <w:szCs w:val="22"/>
        </w:rPr>
        <w:t>LENGGRIES, ALLEMAGNE (24 avril 2026)</w:t>
      </w:r>
    </w:p>
    <w:p w14:paraId="5E1CE174"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1F9A9835"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roofErr w:type="spellStart"/>
      <w:r w:rsidRPr="001D3DEF">
        <w:rPr>
          <w:rFonts w:ascii="Arial" w:hAnsi="Arial" w:cs="Arial"/>
          <w:sz w:val="22"/>
          <w:szCs w:val="22"/>
        </w:rPr>
        <w:t>Lindnerhof</w:t>
      </w:r>
      <w:proofErr w:type="spellEnd"/>
      <w:r w:rsidRPr="001D3DEF">
        <w:rPr>
          <w:rFonts w:ascii="Arial" w:hAnsi="Arial" w:cs="Arial"/>
          <w:sz w:val="22"/>
          <w:szCs w:val="22"/>
        </w:rPr>
        <w:t>, fabricant d’équipements tactiques spécialisé dans les systèmes de transport de charges et partie intégrante du groupe Mehler </w:t>
      </w:r>
      <w:proofErr w:type="spellStart"/>
      <w:r w:rsidRPr="001D3DEF">
        <w:rPr>
          <w:rFonts w:ascii="Arial" w:hAnsi="Arial" w:cs="Arial"/>
          <w:sz w:val="22"/>
          <w:szCs w:val="22"/>
        </w:rPr>
        <w:t>Systems</w:t>
      </w:r>
      <w:proofErr w:type="spellEnd"/>
      <w:r w:rsidRPr="001D3DEF">
        <w:rPr>
          <w:rFonts w:ascii="Arial" w:hAnsi="Arial" w:cs="Arial"/>
          <w:sz w:val="22"/>
          <w:szCs w:val="22"/>
        </w:rPr>
        <w:t>, élargit son portefeuille avec une nouvelle gamme de pochettes et de solutions de transport de charges. Le lancement comprend des porte-chargeurs pour les calibres courants, des pochettes administratives et polyvalentes, une solution de transport de garrot et un harnais ventral une pièce. Au total, dix nouveaux produits ont été développés pour un usage professionnel.</w:t>
      </w:r>
    </w:p>
    <w:p w14:paraId="0CA1AE58"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08CDE341"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 xml:space="preserve">La marque </w:t>
      </w:r>
      <w:proofErr w:type="spellStart"/>
      <w:r w:rsidRPr="001D3DEF">
        <w:rPr>
          <w:rFonts w:ascii="Arial" w:hAnsi="Arial" w:cs="Arial"/>
          <w:sz w:val="22"/>
          <w:szCs w:val="22"/>
        </w:rPr>
        <w:t>Lindnerhof</w:t>
      </w:r>
      <w:proofErr w:type="spellEnd"/>
      <w:r w:rsidRPr="001D3DEF">
        <w:rPr>
          <w:rFonts w:ascii="Arial" w:hAnsi="Arial" w:cs="Arial"/>
          <w:sz w:val="22"/>
          <w:szCs w:val="22"/>
        </w:rPr>
        <w:t>, spécialisée dans la fabrication d’équipements tactiques et membre du groupe Mehler </w:t>
      </w:r>
      <w:proofErr w:type="spellStart"/>
      <w:r w:rsidRPr="001D3DEF">
        <w:rPr>
          <w:rFonts w:ascii="Arial" w:hAnsi="Arial" w:cs="Arial"/>
          <w:sz w:val="22"/>
          <w:szCs w:val="22"/>
        </w:rPr>
        <w:t>Systems</w:t>
      </w:r>
      <w:proofErr w:type="spellEnd"/>
      <w:r w:rsidRPr="001D3DEF">
        <w:rPr>
          <w:rFonts w:ascii="Arial" w:hAnsi="Arial" w:cs="Arial"/>
          <w:sz w:val="22"/>
          <w:szCs w:val="22"/>
        </w:rPr>
        <w:t>, élargit son portefeuille avec une nouvelle gamme de pochettes et de solutions de transport de charges. Le lancement comprend des porte-chargeurs, des pochettes administratives et polyvalentes, une solution de transport de garrot et un harnais ventral une pièce, tous conçus pour un usage professionnel.</w:t>
      </w:r>
    </w:p>
    <w:p w14:paraId="65E1191C"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5D93D85A"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b/>
          <w:sz w:val="22"/>
          <w:szCs w:val="22"/>
        </w:rPr>
        <w:t>Porte-chargeurs</w:t>
      </w:r>
    </w:p>
    <w:p w14:paraId="0BDFE730"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La nouvelle gamme de porte-chargeurs comprend des systèmes pour les calibres courants, notamment les chargeurs HK417/G28 et 5,56 mm STANAG et AUG. Conçus pour un stockage sécurisé et un accès rapide, les porte-chargeurs sont dotés de clips intégrés et de languettes Alpha en option pour assurer une tenue fiable et une manipulation contrôlée dans des conditions exigeantes. Les parois latérales élastiques s’adaptent aux différentes dimensions des chargeurs, tandis que les fines sangles PALS permettent une intégration aisée aux systèmes MOLLE/PALS existants. Les configurations simples et triples offrent une flexibilité permettant de s’adapter aux différentes exigences en matière de transport de munitions.</w:t>
      </w:r>
    </w:p>
    <w:p w14:paraId="4F31FF7D"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27B4E4E5"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b/>
          <w:sz w:val="22"/>
          <w:szCs w:val="22"/>
        </w:rPr>
        <w:t>Solutions médicales et utilitaires</w:t>
      </w:r>
    </w:p>
    <w:p w14:paraId="01313E65"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La gamme comprend une pochette pour garrot conçue pour</w:t>
      </w:r>
    </w:p>
    <w:p w14:paraId="61BDF177" w14:textId="4C234C41" w:rsidR="007E001D" w:rsidRPr="001D3DEF" w:rsidRDefault="007E001D" w:rsidP="001D3DEF">
      <w:pPr>
        <w:spacing w:after="0" w:line="360" w:lineRule="auto"/>
        <w:jc w:val="both"/>
        <w:rPr>
          <w:rFonts w:ascii="Arial" w:eastAsia="Times New Roman" w:hAnsi="Arial" w:cs="Arial"/>
          <w:kern w:val="0"/>
          <w:sz w:val="22"/>
          <w:szCs w:val="22"/>
          <w14:ligatures w14:val="none"/>
        </w:rPr>
      </w:pPr>
      <w:proofErr w:type="gramStart"/>
      <w:r w:rsidRPr="001D3DEF">
        <w:rPr>
          <w:rFonts w:ascii="Arial" w:hAnsi="Arial" w:cs="Arial"/>
          <w:sz w:val="22"/>
          <w:szCs w:val="22"/>
        </w:rPr>
        <w:t>stocker</w:t>
      </w:r>
      <w:proofErr w:type="gramEnd"/>
      <w:r w:rsidRPr="001D3DEF">
        <w:rPr>
          <w:rFonts w:ascii="Arial" w:hAnsi="Arial" w:cs="Arial"/>
          <w:sz w:val="22"/>
          <w:szCs w:val="22"/>
        </w:rPr>
        <w:t xml:space="preserve"> cet équipement de manière sécurisée, tout en permettant une accessibilité immédiate et une utilisation à une seule main si nécessaire.</w:t>
      </w:r>
    </w:p>
    <w:p w14:paraId="4EE55EFC"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 xml:space="preserve">Les pochettes administratives et polyvalentes offrent encore davantage de fonctionnalité avec des solutions d’organisation, de stockage et de gestion des équipements. Des caractéristiques </w:t>
      </w:r>
      <w:r w:rsidRPr="001D3DEF">
        <w:rPr>
          <w:rFonts w:ascii="Arial" w:hAnsi="Arial" w:cs="Arial"/>
          <w:sz w:val="22"/>
          <w:szCs w:val="22"/>
        </w:rPr>
        <w:lastRenderedPageBreak/>
        <w:t xml:space="preserve">pratiques comme des compartiments transparents, des surfaces modulaires </w:t>
      </w:r>
      <w:proofErr w:type="spellStart"/>
      <w:r w:rsidRPr="001D3DEF">
        <w:rPr>
          <w:rFonts w:ascii="Arial" w:hAnsi="Arial" w:cs="Arial"/>
          <w:sz w:val="22"/>
          <w:szCs w:val="22"/>
        </w:rPr>
        <w:t>auto-agrippantes</w:t>
      </w:r>
      <w:proofErr w:type="spellEnd"/>
      <w:r w:rsidRPr="001D3DEF">
        <w:rPr>
          <w:rFonts w:ascii="Arial" w:hAnsi="Arial" w:cs="Arial"/>
          <w:sz w:val="22"/>
          <w:szCs w:val="22"/>
        </w:rPr>
        <w:t xml:space="preserve"> et des options de fixation flexibles facilitent l’accès et l’adaptabilité à différentes configurations opérationnelles.</w:t>
      </w:r>
    </w:p>
    <w:p w14:paraId="2426FAFE"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5079D3F2"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b/>
          <w:sz w:val="22"/>
          <w:szCs w:val="22"/>
        </w:rPr>
        <w:t>Pochettes polyvalentes</w:t>
      </w:r>
    </w:p>
    <w:p w14:paraId="6CC4C20E"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La gamme de pochettes verticales et horizontales offre un rangement évolutif pour les systèmes d’hydratation, les dispositifs de communication et les équipements supplémentaires. Des options intégrées pour l’acheminement des câbles ou tubes à boisson sont associées à des éléments de protection tels que des fermetures éclair inversées et des orifices de vidange, garantissant des performances fiables dans des environnements exigeants.</w:t>
      </w:r>
    </w:p>
    <w:p w14:paraId="37259C7D"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53557671"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b/>
          <w:sz w:val="22"/>
          <w:szCs w:val="22"/>
        </w:rPr>
        <w:t>Harnais ventral MX267</w:t>
      </w:r>
    </w:p>
    <w:p w14:paraId="10ADA159"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 xml:space="preserve">Le harnais ventral une pièce MX267 offre une plateforme modulaire adaptée à une large gamme de configurations. Son système de transport rembourré et réglable favorise le confort pendant les utilisations prolongées, tandis que la surface intégralement compatible avec les fixations MOLLE/PALS et les zones intérieures </w:t>
      </w:r>
      <w:proofErr w:type="spellStart"/>
      <w:r w:rsidRPr="001D3DEF">
        <w:rPr>
          <w:rFonts w:ascii="Arial" w:hAnsi="Arial" w:cs="Arial"/>
          <w:sz w:val="22"/>
          <w:szCs w:val="22"/>
        </w:rPr>
        <w:t>auto-agrippantes</w:t>
      </w:r>
      <w:proofErr w:type="spellEnd"/>
      <w:r w:rsidRPr="001D3DEF">
        <w:rPr>
          <w:rFonts w:ascii="Arial" w:hAnsi="Arial" w:cs="Arial"/>
          <w:sz w:val="22"/>
          <w:szCs w:val="22"/>
        </w:rPr>
        <w:t xml:space="preserve"> permettent une configuration flexible. Le système peut être intégré à des équipements existants à l’aide du set d’adaptateurs pour porte-plaques RMPL144.</w:t>
      </w:r>
    </w:p>
    <w:p w14:paraId="1924D426" w14:textId="77777777" w:rsidR="007E001D" w:rsidRPr="001D3DEF" w:rsidRDefault="007E001D" w:rsidP="001D3DEF">
      <w:pPr>
        <w:spacing w:after="0" w:line="360" w:lineRule="auto"/>
        <w:jc w:val="both"/>
        <w:rPr>
          <w:rFonts w:ascii="Arial" w:eastAsia="Times New Roman" w:hAnsi="Arial" w:cs="Arial"/>
          <w:kern w:val="0"/>
          <w:sz w:val="22"/>
          <w:szCs w:val="22"/>
          <w14:ligatures w14:val="none"/>
        </w:rPr>
      </w:pPr>
    </w:p>
    <w:p w14:paraId="70139411" w14:textId="38F13902" w:rsidR="007E001D" w:rsidRPr="001D3DEF" w:rsidRDefault="007E001D" w:rsidP="001D3DEF">
      <w:pPr>
        <w:spacing w:after="0" w:line="360" w:lineRule="auto"/>
        <w:jc w:val="both"/>
        <w:rPr>
          <w:rFonts w:ascii="Arial" w:eastAsia="Times New Roman" w:hAnsi="Arial" w:cs="Arial"/>
          <w:kern w:val="0"/>
          <w:sz w:val="22"/>
          <w:szCs w:val="22"/>
          <w14:ligatures w14:val="none"/>
        </w:rPr>
      </w:pPr>
      <w:r w:rsidRPr="001D3DEF">
        <w:rPr>
          <w:rFonts w:ascii="Arial" w:hAnsi="Arial" w:cs="Arial"/>
          <w:sz w:val="22"/>
          <w:szCs w:val="22"/>
        </w:rPr>
        <w:t xml:space="preserve">Avec ce lancement de produits, </w:t>
      </w:r>
      <w:proofErr w:type="spellStart"/>
      <w:r w:rsidRPr="001D3DEF">
        <w:rPr>
          <w:rFonts w:ascii="Arial" w:hAnsi="Arial" w:cs="Arial"/>
          <w:sz w:val="22"/>
          <w:szCs w:val="22"/>
        </w:rPr>
        <w:t>Lindnerhof</w:t>
      </w:r>
      <w:proofErr w:type="spellEnd"/>
      <w:r w:rsidRPr="001D3DEF">
        <w:rPr>
          <w:rFonts w:ascii="Arial" w:hAnsi="Arial" w:cs="Arial"/>
          <w:sz w:val="22"/>
          <w:szCs w:val="22"/>
        </w:rPr>
        <w:t xml:space="preserve"> continue d’élargir son portefeuille modulaire destiné à un usage professionnel. Pour plus d’informations sur </w:t>
      </w:r>
      <w:proofErr w:type="spellStart"/>
      <w:r w:rsidRPr="001D3DEF">
        <w:rPr>
          <w:rFonts w:ascii="Arial" w:hAnsi="Arial" w:cs="Arial"/>
          <w:sz w:val="22"/>
          <w:szCs w:val="22"/>
        </w:rPr>
        <w:t>Lindnerhof</w:t>
      </w:r>
      <w:proofErr w:type="spellEnd"/>
      <w:r w:rsidRPr="001D3DEF">
        <w:rPr>
          <w:rFonts w:ascii="Arial" w:hAnsi="Arial" w:cs="Arial"/>
          <w:sz w:val="22"/>
          <w:szCs w:val="22"/>
        </w:rPr>
        <w:t xml:space="preserve">, consultez </w:t>
      </w:r>
      <w:hyperlink r:id="rId6" w:history="1">
        <w:r w:rsidRPr="001D3DEF">
          <w:rPr>
            <w:rFonts w:ascii="Arial" w:hAnsi="Arial" w:cs="Arial"/>
            <w:color w:val="0000FF"/>
            <w:sz w:val="22"/>
            <w:szCs w:val="22"/>
            <w:u w:val="single"/>
          </w:rPr>
          <w:t>lindnerhof-taktik.de</w:t>
        </w:r>
      </w:hyperlink>
      <w:r w:rsidRPr="001D3DEF">
        <w:rPr>
          <w:rFonts w:ascii="Arial" w:hAnsi="Arial" w:cs="Arial"/>
          <w:sz w:val="22"/>
          <w:szCs w:val="22"/>
        </w:rPr>
        <w:t>.</w:t>
      </w:r>
    </w:p>
    <w:p w14:paraId="3B2008AC" w14:textId="77777777" w:rsidR="00A57860" w:rsidRPr="001D3DEF" w:rsidRDefault="00A57860" w:rsidP="001D3DEF">
      <w:pPr>
        <w:spacing w:after="0" w:line="360" w:lineRule="auto"/>
        <w:jc w:val="both"/>
        <w:rPr>
          <w:rFonts w:ascii="Arial" w:hAnsi="Arial" w:cs="Arial"/>
          <w:sz w:val="22"/>
          <w:szCs w:val="22"/>
        </w:rPr>
      </w:pPr>
    </w:p>
    <w:p w14:paraId="3C73A544"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r w:rsidRPr="001D3DEF">
        <w:rPr>
          <w:rStyle w:val="Strong"/>
          <w:rFonts w:ascii="Arial" w:eastAsiaTheme="majorEastAsia" w:hAnsi="Arial" w:cs="Arial"/>
          <w:i/>
          <w:iCs/>
          <w:sz w:val="22"/>
          <w:szCs w:val="22"/>
        </w:rPr>
        <w:t xml:space="preserve">À propos de </w:t>
      </w:r>
      <w:proofErr w:type="spellStart"/>
      <w:proofErr w:type="gramStart"/>
      <w:r w:rsidRPr="001D3DEF">
        <w:rPr>
          <w:rStyle w:val="Strong"/>
          <w:rFonts w:ascii="Arial" w:eastAsiaTheme="majorEastAsia" w:hAnsi="Arial" w:cs="Arial"/>
          <w:i/>
          <w:iCs/>
          <w:sz w:val="22"/>
          <w:szCs w:val="22"/>
        </w:rPr>
        <w:t>Lindnerhof</w:t>
      </w:r>
      <w:proofErr w:type="spellEnd"/>
      <w:r w:rsidRPr="001D3DEF">
        <w:rPr>
          <w:rStyle w:val="Strong"/>
          <w:rFonts w:ascii="Arial" w:eastAsiaTheme="majorEastAsia" w:hAnsi="Arial" w:cs="Arial"/>
          <w:i/>
          <w:iCs/>
          <w:sz w:val="22"/>
          <w:szCs w:val="22"/>
        </w:rPr>
        <w:t>:</w:t>
      </w:r>
      <w:proofErr w:type="gramEnd"/>
    </w:p>
    <w:p w14:paraId="3B980116" w14:textId="77777777" w:rsidR="001D3DEF" w:rsidRDefault="001D3DEF" w:rsidP="001D3DEF">
      <w:pPr>
        <w:pStyle w:val="NormalWeb"/>
        <w:spacing w:before="0" w:beforeAutospacing="0" w:after="0" w:afterAutospacing="0" w:line="360" w:lineRule="auto"/>
        <w:jc w:val="both"/>
        <w:rPr>
          <w:rStyle w:val="Emphasis"/>
          <w:rFonts w:ascii="Arial" w:eastAsiaTheme="majorEastAsia" w:hAnsi="Arial" w:cs="Arial"/>
          <w:sz w:val="22"/>
          <w:szCs w:val="22"/>
        </w:rPr>
      </w:pPr>
      <w:r w:rsidRPr="001D3DEF">
        <w:rPr>
          <w:rStyle w:val="Emphasis"/>
          <w:rFonts w:ascii="Arial" w:eastAsiaTheme="majorEastAsia" w:hAnsi="Arial" w:cs="Arial"/>
          <w:sz w:val="22"/>
          <w:szCs w:val="22"/>
        </w:rPr>
        <w:t xml:space="preserve">Née de l’expérience du terrain, </w:t>
      </w:r>
      <w:proofErr w:type="spellStart"/>
      <w:r w:rsidRPr="001D3DEF">
        <w:rPr>
          <w:rStyle w:val="Emphasis"/>
          <w:rFonts w:ascii="Arial" w:eastAsiaTheme="majorEastAsia" w:hAnsi="Arial" w:cs="Arial"/>
          <w:sz w:val="22"/>
          <w:szCs w:val="22"/>
        </w:rPr>
        <w:t>Lindnerhof</w:t>
      </w:r>
      <w:proofErr w:type="spellEnd"/>
      <w:r w:rsidRPr="001D3DEF">
        <w:rPr>
          <w:rStyle w:val="Emphasis"/>
          <w:rFonts w:ascii="Arial" w:eastAsiaTheme="majorEastAsia" w:hAnsi="Arial" w:cs="Arial"/>
          <w:sz w:val="22"/>
          <w:szCs w:val="22"/>
        </w:rPr>
        <w:t xml:space="preserve"> a été fondée par un soldat des forces spéciales allemandes, animé par une volonté constante de développer des équipements tactiques améliorant les performances. L’objectif reste aujourd’hui le même qu’à ses débuts : établir et maintenir des relations de travail étroites avec des unités d’élite.</w:t>
      </w:r>
    </w:p>
    <w:p w14:paraId="45C20B5A"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p>
    <w:p w14:paraId="516E8B99" w14:textId="77777777" w:rsidR="001D3DEF" w:rsidRDefault="001D3DEF" w:rsidP="001D3DEF">
      <w:pPr>
        <w:pStyle w:val="NormalWeb"/>
        <w:spacing w:before="0" w:beforeAutospacing="0" w:after="0" w:afterAutospacing="0" w:line="360" w:lineRule="auto"/>
        <w:jc w:val="both"/>
        <w:rPr>
          <w:rStyle w:val="Emphasis"/>
          <w:rFonts w:ascii="Arial" w:eastAsiaTheme="majorEastAsia" w:hAnsi="Arial" w:cs="Arial"/>
          <w:sz w:val="22"/>
          <w:szCs w:val="22"/>
        </w:rPr>
      </w:pPr>
      <w:proofErr w:type="spellStart"/>
      <w:r w:rsidRPr="001D3DEF">
        <w:rPr>
          <w:rStyle w:val="Emphasis"/>
          <w:rFonts w:ascii="Arial" w:eastAsiaTheme="majorEastAsia" w:hAnsi="Arial" w:cs="Arial"/>
          <w:sz w:val="22"/>
          <w:szCs w:val="22"/>
        </w:rPr>
        <w:t>Lindnerhof</w:t>
      </w:r>
      <w:proofErr w:type="spellEnd"/>
      <w:r w:rsidRPr="001D3DEF">
        <w:rPr>
          <w:rStyle w:val="Emphasis"/>
          <w:rFonts w:ascii="Arial" w:eastAsiaTheme="majorEastAsia" w:hAnsi="Arial" w:cs="Arial"/>
          <w:sz w:val="22"/>
          <w:szCs w:val="22"/>
        </w:rPr>
        <w:t xml:space="preserve"> complète les capacités de Mehler </w:t>
      </w:r>
      <w:proofErr w:type="spellStart"/>
      <w:r w:rsidRPr="001D3DEF">
        <w:rPr>
          <w:rStyle w:val="Emphasis"/>
          <w:rFonts w:ascii="Arial" w:eastAsiaTheme="majorEastAsia" w:hAnsi="Arial" w:cs="Arial"/>
          <w:sz w:val="22"/>
          <w:szCs w:val="22"/>
        </w:rPr>
        <w:t>Systems</w:t>
      </w:r>
      <w:proofErr w:type="spellEnd"/>
      <w:r w:rsidRPr="001D3DEF">
        <w:rPr>
          <w:rStyle w:val="Emphasis"/>
          <w:rFonts w:ascii="Arial" w:eastAsiaTheme="majorEastAsia" w:hAnsi="Arial" w:cs="Arial"/>
          <w:sz w:val="22"/>
          <w:szCs w:val="22"/>
        </w:rPr>
        <w:t xml:space="preserve"> en proposant des solutions de portage modulaires, fonctionnelles et de haute qualité, spécifiquement adaptées aux missions tactiques. Conçus pour les forces spéciales, les militaires et les forces de l’ordre, les produits privilégient un accès rapide à l’équipement, une grande capacité de personnalisation et contribuent à une organisation efficace et une exécution rapide sur le terrain.</w:t>
      </w:r>
    </w:p>
    <w:p w14:paraId="1694959A"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p>
    <w:p w14:paraId="18EE47EC"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r w:rsidRPr="001D3DEF">
        <w:rPr>
          <w:rStyle w:val="Emphasis"/>
          <w:rFonts w:ascii="Arial" w:eastAsiaTheme="majorEastAsia" w:hAnsi="Arial" w:cs="Arial"/>
          <w:sz w:val="22"/>
          <w:szCs w:val="22"/>
        </w:rPr>
        <w:lastRenderedPageBreak/>
        <w:t xml:space="preserve">Pour plus d’informations sur </w:t>
      </w:r>
      <w:proofErr w:type="spellStart"/>
      <w:r w:rsidRPr="001D3DEF">
        <w:rPr>
          <w:rStyle w:val="Emphasis"/>
          <w:rFonts w:ascii="Arial" w:eastAsiaTheme="majorEastAsia" w:hAnsi="Arial" w:cs="Arial"/>
          <w:sz w:val="22"/>
          <w:szCs w:val="22"/>
        </w:rPr>
        <w:t>Lindnerhof</w:t>
      </w:r>
      <w:proofErr w:type="spellEnd"/>
      <w:r w:rsidRPr="001D3DEF">
        <w:rPr>
          <w:rStyle w:val="Emphasis"/>
          <w:rFonts w:ascii="Arial" w:eastAsiaTheme="majorEastAsia" w:hAnsi="Arial" w:cs="Arial"/>
          <w:sz w:val="22"/>
          <w:szCs w:val="22"/>
        </w:rPr>
        <w:t xml:space="preserve">, veuillez consulter : </w:t>
      </w:r>
      <w:hyperlink r:id="rId7" w:history="1">
        <w:r w:rsidRPr="001D3DEF">
          <w:rPr>
            <w:rStyle w:val="Hyperlink"/>
            <w:rFonts w:ascii="Arial" w:eastAsiaTheme="majorEastAsia" w:hAnsi="Arial" w:cs="Arial"/>
            <w:i/>
            <w:iCs/>
            <w:sz w:val="22"/>
            <w:szCs w:val="22"/>
          </w:rPr>
          <w:t>lindnerhof-taktik.de</w:t>
        </w:r>
      </w:hyperlink>
    </w:p>
    <w:p w14:paraId="617524B1" w14:textId="77777777" w:rsidR="001D3DEF" w:rsidRDefault="001D3DEF" w:rsidP="001D3DEF">
      <w:pPr>
        <w:pStyle w:val="NormalWeb"/>
        <w:spacing w:before="0" w:beforeAutospacing="0" w:after="0" w:afterAutospacing="0" w:line="360" w:lineRule="auto"/>
        <w:jc w:val="both"/>
        <w:rPr>
          <w:rStyle w:val="Strong"/>
          <w:rFonts w:ascii="Arial" w:eastAsiaTheme="majorEastAsia" w:hAnsi="Arial" w:cs="Arial"/>
          <w:i/>
          <w:iCs/>
          <w:sz w:val="22"/>
          <w:szCs w:val="22"/>
        </w:rPr>
      </w:pPr>
    </w:p>
    <w:p w14:paraId="0849EC53" w14:textId="5D3BFD66" w:rsidR="001D3DEF" w:rsidRPr="001D3DEF" w:rsidRDefault="001D3DEF" w:rsidP="001D3DEF">
      <w:pPr>
        <w:pStyle w:val="NormalWeb"/>
        <w:spacing w:before="0" w:beforeAutospacing="0" w:after="0" w:afterAutospacing="0" w:line="360" w:lineRule="auto"/>
        <w:jc w:val="both"/>
        <w:rPr>
          <w:rFonts w:ascii="Arial" w:hAnsi="Arial" w:cs="Arial"/>
          <w:sz w:val="22"/>
          <w:szCs w:val="22"/>
        </w:rPr>
      </w:pPr>
      <w:r w:rsidRPr="001D3DEF">
        <w:rPr>
          <w:rStyle w:val="Strong"/>
          <w:rFonts w:ascii="Arial" w:eastAsiaTheme="majorEastAsia" w:hAnsi="Arial" w:cs="Arial"/>
          <w:i/>
          <w:iCs/>
          <w:sz w:val="22"/>
          <w:szCs w:val="22"/>
        </w:rPr>
        <w:t>Contact médias :</w:t>
      </w:r>
    </w:p>
    <w:p w14:paraId="16FBD97D"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proofErr w:type="spellStart"/>
      <w:r w:rsidRPr="001D3DEF">
        <w:rPr>
          <w:rStyle w:val="Emphasis"/>
          <w:rFonts w:ascii="Arial" w:eastAsiaTheme="majorEastAsia" w:hAnsi="Arial" w:cs="Arial"/>
          <w:sz w:val="22"/>
          <w:szCs w:val="22"/>
        </w:rPr>
        <w:t>Philipp</w:t>
      </w:r>
      <w:proofErr w:type="spellEnd"/>
      <w:r w:rsidRPr="001D3DEF">
        <w:rPr>
          <w:rStyle w:val="Emphasis"/>
          <w:rFonts w:ascii="Arial" w:eastAsiaTheme="majorEastAsia" w:hAnsi="Arial" w:cs="Arial"/>
          <w:sz w:val="22"/>
          <w:szCs w:val="22"/>
        </w:rPr>
        <w:t> </w:t>
      </w:r>
      <w:proofErr w:type="spellStart"/>
      <w:r w:rsidRPr="001D3DEF">
        <w:rPr>
          <w:rStyle w:val="Emphasis"/>
          <w:rFonts w:ascii="Arial" w:eastAsiaTheme="majorEastAsia" w:hAnsi="Arial" w:cs="Arial"/>
          <w:sz w:val="22"/>
          <w:szCs w:val="22"/>
        </w:rPr>
        <w:t>Somogyi</w:t>
      </w:r>
      <w:proofErr w:type="spellEnd"/>
    </w:p>
    <w:p w14:paraId="56D33FC4"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r w:rsidRPr="001D3DEF">
        <w:rPr>
          <w:rStyle w:val="Emphasis"/>
          <w:rFonts w:ascii="Arial" w:eastAsiaTheme="majorEastAsia" w:hAnsi="Arial" w:cs="Arial"/>
          <w:sz w:val="22"/>
          <w:szCs w:val="22"/>
        </w:rPr>
        <w:t>Responsable du marketing solutions de protection blindée individuelle et de plateforme</w:t>
      </w:r>
    </w:p>
    <w:p w14:paraId="01421441" w14:textId="77777777" w:rsidR="001D3DEF" w:rsidRPr="001D3DEF" w:rsidRDefault="001D3DEF" w:rsidP="001D3DEF">
      <w:pPr>
        <w:pStyle w:val="NormalWeb"/>
        <w:spacing w:before="0" w:beforeAutospacing="0" w:after="0" w:afterAutospacing="0" w:line="360" w:lineRule="auto"/>
        <w:jc w:val="both"/>
        <w:rPr>
          <w:rFonts w:ascii="Arial" w:hAnsi="Arial" w:cs="Arial"/>
          <w:sz w:val="22"/>
          <w:szCs w:val="22"/>
        </w:rPr>
      </w:pPr>
      <w:hyperlink r:id="rId8" w:history="1">
        <w:r w:rsidRPr="001D3DEF">
          <w:rPr>
            <w:rStyle w:val="Strong"/>
            <w:rFonts w:ascii="Arial" w:eastAsiaTheme="majorEastAsia" w:hAnsi="Arial" w:cs="Arial"/>
            <w:i/>
            <w:iCs/>
            <w:color w:val="0000FF"/>
            <w:sz w:val="22"/>
            <w:szCs w:val="22"/>
            <w:u w:val="single"/>
          </w:rPr>
          <w:t>philipp.somogyi@mehler-systems.com</w:t>
        </w:r>
      </w:hyperlink>
    </w:p>
    <w:p w14:paraId="2FE6488C" w14:textId="77777777" w:rsidR="001D3DEF" w:rsidRPr="001D3DEF" w:rsidRDefault="001D3DEF" w:rsidP="001D3DEF">
      <w:pPr>
        <w:spacing w:after="0" w:line="360" w:lineRule="auto"/>
        <w:jc w:val="both"/>
        <w:rPr>
          <w:rFonts w:ascii="Arial" w:hAnsi="Arial" w:cs="Arial"/>
          <w:sz w:val="22"/>
          <w:szCs w:val="22"/>
        </w:rPr>
      </w:pPr>
    </w:p>
    <w:sectPr w:rsidR="001D3DEF" w:rsidRPr="001D3DE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CDE7B" w14:textId="77777777" w:rsidR="0064472B" w:rsidRDefault="0064472B" w:rsidP="007E001D">
      <w:pPr>
        <w:spacing w:after="0" w:line="240" w:lineRule="auto"/>
      </w:pPr>
      <w:r>
        <w:separator/>
      </w:r>
    </w:p>
  </w:endnote>
  <w:endnote w:type="continuationSeparator" w:id="0">
    <w:p w14:paraId="4F5CDCD0" w14:textId="77777777" w:rsidR="0064472B" w:rsidRDefault="0064472B" w:rsidP="007E0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6EE1" w14:textId="77777777" w:rsidR="0064472B" w:rsidRDefault="0064472B" w:rsidP="007E001D">
      <w:pPr>
        <w:spacing w:after="0" w:line="240" w:lineRule="auto"/>
      </w:pPr>
      <w:r>
        <w:separator/>
      </w:r>
    </w:p>
  </w:footnote>
  <w:footnote w:type="continuationSeparator" w:id="0">
    <w:p w14:paraId="4D4269EC" w14:textId="77777777" w:rsidR="0064472B" w:rsidRDefault="0064472B" w:rsidP="007E00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01D"/>
    <w:rsid w:val="00106A09"/>
    <w:rsid w:val="00152A85"/>
    <w:rsid w:val="001D3DEF"/>
    <w:rsid w:val="0064472B"/>
    <w:rsid w:val="007E001D"/>
    <w:rsid w:val="00A57860"/>
    <w:rsid w:val="00CC2A46"/>
    <w:rsid w:val="00F65EF0"/>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E4217"/>
  <w15:chartTrackingRefBased/>
  <w15:docId w15:val="{0E175346-0831-8E47-AD0D-2856E637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0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0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0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0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0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01D"/>
    <w:rPr>
      <w:rFonts w:eastAsiaTheme="majorEastAsia" w:cstheme="majorBidi"/>
      <w:color w:val="272727" w:themeColor="text1" w:themeTint="D8"/>
    </w:rPr>
  </w:style>
  <w:style w:type="paragraph" w:styleId="Title">
    <w:name w:val="Title"/>
    <w:basedOn w:val="Normal"/>
    <w:next w:val="Normal"/>
    <w:link w:val="TitleChar"/>
    <w:uiPriority w:val="10"/>
    <w:qFormat/>
    <w:rsid w:val="007E0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01D"/>
    <w:pPr>
      <w:spacing w:before="160"/>
      <w:jc w:val="center"/>
    </w:pPr>
    <w:rPr>
      <w:i/>
      <w:iCs/>
      <w:color w:val="404040" w:themeColor="text1" w:themeTint="BF"/>
    </w:rPr>
  </w:style>
  <w:style w:type="character" w:customStyle="1" w:styleId="QuoteChar">
    <w:name w:val="Quote Char"/>
    <w:basedOn w:val="DefaultParagraphFont"/>
    <w:link w:val="Quote"/>
    <w:uiPriority w:val="29"/>
    <w:rsid w:val="007E001D"/>
    <w:rPr>
      <w:i/>
      <w:iCs/>
      <w:color w:val="404040" w:themeColor="text1" w:themeTint="BF"/>
    </w:rPr>
  </w:style>
  <w:style w:type="paragraph" w:styleId="ListParagraph">
    <w:name w:val="List Paragraph"/>
    <w:basedOn w:val="Normal"/>
    <w:uiPriority w:val="34"/>
    <w:qFormat/>
    <w:rsid w:val="007E001D"/>
    <w:pPr>
      <w:ind w:left="720"/>
      <w:contextualSpacing/>
    </w:pPr>
  </w:style>
  <w:style w:type="character" w:styleId="IntenseEmphasis">
    <w:name w:val="Intense Emphasis"/>
    <w:basedOn w:val="DefaultParagraphFont"/>
    <w:uiPriority w:val="21"/>
    <w:qFormat/>
    <w:rsid w:val="007E001D"/>
    <w:rPr>
      <w:i/>
      <w:iCs/>
      <w:color w:val="0F4761" w:themeColor="accent1" w:themeShade="BF"/>
    </w:rPr>
  </w:style>
  <w:style w:type="paragraph" w:styleId="IntenseQuote">
    <w:name w:val="Intense Quote"/>
    <w:basedOn w:val="Normal"/>
    <w:next w:val="Normal"/>
    <w:link w:val="IntenseQuoteChar"/>
    <w:uiPriority w:val="30"/>
    <w:qFormat/>
    <w:rsid w:val="007E00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01D"/>
    <w:rPr>
      <w:i/>
      <w:iCs/>
      <w:color w:val="0F4761" w:themeColor="accent1" w:themeShade="BF"/>
    </w:rPr>
  </w:style>
  <w:style w:type="character" w:styleId="IntenseReference">
    <w:name w:val="Intense Reference"/>
    <w:basedOn w:val="DefaultParagraphFont"/>
    <w:uiPriority w:val="32"/>
    <w:qFormat/>
    <w:rsid w:val="007E001D"/>
    <w:rPr>
      <w:b/>
      <w:bCs/>
      <w:smallCaps/>
      <w:color w:val="0F4761" w:themeColor="accent1" w:themeShade="BF"/>
      <w:spacing w:val="5"/>
    </w:rPr>
  </w:style>
  <w:style w:type="character" w:styleId="Strong">
    <w:name w:val="Strong"/>
    <w:basedOn w:val="DefaultParagraphFont"/>
    <w:uiPriority w:val="22"/>
    <w:qFormat/>
    <w:rsid w:val="007E001D"/>
    <w:rPr>
      <w:b/>
      <w:bCs/>
    </w:rPr>
  </w:style>
  <w:style w:type="paragraph" w:styleId="NormalWeb">
    <w:name w:val="Normal (Web)"/>
    <w:basedOn w:val="Normal"/>
    <w:uiPriority w:val="99"/>
    <w:semiHidden/>
    <w:unhideWhenUsed/>
    <w:rsid w:val="007E00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E001D"/>
    <w:rPr>
      <w:color w:val="0000FF"/>
      <w:u w:val="single"/>
    </w:rPr>
  </w:style>
  <w:style w:type="paragraph" w:styleId="Header">
    <w:name w:val="header"/>
    <w:basedOn w:val="Normal"/>
    <w:link w:val="HeaderChar"/>
    <w:uiPriority w:val="99"/>
    <w:unhideWhenUsed/>
    <w:rsid w:val="007E0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01D"/>
  </w:style>
  <w:style w:type="paragraph" w:styleId="Footer">
    <w:name w:val="footer"/>
    <w:basedOn w:val="Normal"/>
    <w:link w:val="FooterChar"/>
    <w:uiPriority w:val="99"/>
    <w:unhideWhenUsed/>
    <w:rsid w:val="007E0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01D"/>
  </w:style>
  <w:style w:type="character" w:styleId="Emphasis">
    <w:name w:val="Emphasis"/>
    <w:basedOn w:val="DefaultParagraphFont"/>
    <w:uiPriority w:val="20"/>
    <w:qFormat/>
    <w:rsid w:val="001D3D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ilipp.somogyi@mehler-systems.com" TargetMode="External"/><Relationship Id="rId3" Type="http://schemas.openxmlformats.org/officeDocument/2006/relationships/webSettings" Target="webSettings.xml"/><Relationship Id="rId7" Type="http://schemas.openxmlformats.org/officeDocument/2006/relationships/hyperlink" Target="http://lindnerhof-taktik.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dnerhof-taktik.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2026-04-24T09:28:00Z</dcterms:created>
  <dcterms:modified xsi:type="dcterms:W3CDTF">2026-04-24T09:28:00Z</dcterms:modified>
</cp:coreProperties>
</file>