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1387" w:rsidR="008422B5" w:rsidP="3290E1A5" w:rsidRDefault="008422B5" w14:paraId="3A2D507B" w14:textId="77777777" w14:noSpellErr="1">
      <w:pPr>
        <w:spacing w:before="0" w:beforeAutospacing="off" w:after="0" w:afterAutospacing="off" w:line="360" w:lineRule="auto"/>
        <w:jc w:val="both"/>
        <w:outlineLvl w:val="0"/>
        <w:rPr>
          <w:rFonts w:ascii="Arial" w:hAnsi="Arial" w:eastAsia="Arial" w:cs="Arial"/>
          <w:b w:val="1"/>
          <w:bCs w:val="1"/>
          <w:kern w:val="36"/>
          <w:sz w:val="22"/>
          <w:szCs w:val="22"/>
          <w:lang w:val="sl-SI"/>
          <w14:ligatures w14:val="none"/>
        </w:rPr>
      </w:pP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  <w:lang w:val="sl-SI"/>
        </w:rPr>
        <w:t>Mehler</w:t>
      </w: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  <w:lang w:val="sl-SI"/>
        </w:rPr>
        <w:t> </w:t>
      </w: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  <w:lang w:val="sl-SI"/>
        </w:rPr>
        <w:t>Systems</w:t>
      </w: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  <w:lang w:val="sl-SI"/>
        </w:rPr>
        <w:t>conclut</w:t>
      </w: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  <w:lang w:val="sl-SI"/>
        </w:rPr>
        <w:t>un</w:t>
      </w: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  <w:lang w:val="sl-SI"/>
        </w:rPr>
        <w:t>Milipol</w:t>
      </w: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  <w:lang w:val="sl-SI"/>
        </w:rPr>
        <w:t> Paris 2025 fort</w:t>
      </w:r>
    </w:p>
    <w:p w:rsidRPr="00F51387" w:rsidR="008422B5" w:rsidP="3290E1A5" w:rsidRDefault="008422B5" w14:paraId="3BD192CA" w14:textId="77777777" w14:noSpellErr="1">
      <w:pPr>
        <w:spacing w:before="0" w:beforeAutospacing="off" w:after="0" w:afterAutospacing="off" w:line="360" w:lineRule="auto"/>
        <w:jc w:val="both"/>
        <w:outlineLvl w:val="0"/>
        <w:rPr>
          <w:rFonts w:ascii="Arial" w:hAnsi="Arial" w:eastAsia="Arial" w:cs="Arial"/>
          <w:b w:val="1"/>
          <w:bCs w:val="1"/>
          <w:kern w:val="36"/>
          <w:sz w:val="22"/>
          <w:szCs w:val="22"/>
          <w14:ligatures w14:val="none"/>
        </w:rPr>
      </w:pPr>
    </w:p>
    <w:p w:rsidRPr="00F51387" w:rsidR="008422B5" w:rsidP="3290E1A5" w:rsidRDefault="008422B5" w14:paraId="77754D48" w14:textId="1A567168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kern w:val="0"/>
          <w:sz w:val="22"/>
          <w:szCs w:val="22"/>
          <w14:ligatures w14:val="none"/>
        </w:rPr>
      </w:pP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</w:rPr>
        <w:t>FULDA, ALLEMAGNE (0</w:t>
      </w:r>
      <w:r w:rsidRPr="3290E1A5" w:rsidR="00F51387">
        <w:rPr>
          <w:rFonts w:ascii="Arial" w:hAnsi="Arial" w:eastAsia="Arial" w:cs="Arial"/>
          <w:b w:val="1"/>
          <w:bCs w:val="1"/>
          <w:sz w:val="22"/>
          <w:szCs w:val="22"/>
        </w:rPr>
        <w:t>3</w:t>
      </w:r>
      <w:r w:rsidRPr="3290E1A5" w:rsidR="008422B5">
        <w:rPr>
          <w:rFonts w:ascii="Arial" w:hAnsi="Arial" w:eastAsia="Arial" w:cs="Arial"/>
          <w:b w:val="1"/>
          <w:bCs w:val="1"/>
          <w:sz w:val="22"/>
          <w:szCs w:val="22"/>
        </w:rPr>
        <w:t>.12.2025)</w:t>
      </w:r>
    </w:p>
    <w:p w:rsidRPr="00F51387" w:rsidR="008422B5" w:rsidP="3290E1A5" w:rsidRDefault="008422B5" w14:paraId="7F58D9BF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Pr="00F51387" w:rsidR="008422B5" w:rsidP="3290E1A5" w:rsidRDefault="008422B5" w14:paraId="6A22B1C0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Mehler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 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Systems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conclu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avec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succès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sa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présence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à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Milipol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 Paris 2025,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où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trois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marques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Mehler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 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Lindnerhof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UF PRO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présenté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leurs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derniers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développements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à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un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public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international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professionnels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défense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de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sécurité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des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forces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l’ordre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.</w:t>
      </w:r>
    </w:p>
    <w:p w:rsidRPr="00F51387" w:rsidR="008422B5" w:rsidP="3290E1A5" w:rsidRDefault="008422B5" w14:paraId="20D3EDA0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Pr="00F51387" w:rsidR="008422B5" w:rsidP="3290E1A5" w:rsidRDefault="008422B5" w14:paraId="5009F07C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La vitrine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cette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année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montré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comment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Mehler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 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Systems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réunit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équipements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transport et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vêtements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tactiques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en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une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seule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même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offre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. Au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cours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quatre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journées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d’exposition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le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groupe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montré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comment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trois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marques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travaillent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ensemble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répondre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aux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besoins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opérationnels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du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secteur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dans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un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large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éventail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d’environnements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.</w:t>
      </w:r>
    </w:p>
    <w:p w:rsidRPr="00F51387" w:rsidR="008422B5" w:rsidP="3290E1A5" w:rsidRDefault="008422B5" w14:paraId="7A2F2058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Pr="00F51387" w:rsidR="008422B5" w:rsidP="3290E1A5" w:rsidRDefault="008422B5" w14:paraId="285BA7CE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À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pointe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l’innovation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balistique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Mehler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 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présenté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dernières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solutions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personnes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des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plateformes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. Parmi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points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forts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mentionnons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l’exosquelette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blindé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ExoM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développé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avec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financement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du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GIGN,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Mawashi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 Science &amp; 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Technology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l’AID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. Le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système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aide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opératrices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opérateurs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à transporter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lourdes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charges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plus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efficacement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tout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en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ajoutant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l’option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balistique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évolutive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.</w:t>
      </w:r>
    </w:p>
    <w:p w:rsidRPr="00F51387" w:rsidR="008422B5" w:rsidP="3290E1A5" w:rsidRDefault="008422B5" w14:paraId="703FFAC3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Pr="00F51387" w:rsidR="008422B5" w:rsidP="3290E1A5" w:rsidRDefault="008422B5" w14:paraId="5F414CBF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La veste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hybride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HYVE,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conçue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être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légère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confortable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adaptable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à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différents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niveaux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également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présentée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.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Parallèlement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le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système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modulaire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M.U.S.T. 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montré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comment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composants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balistiques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éléments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porteurs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peuvent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être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configurés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ajustés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répondre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à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un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large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éventail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besoins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mission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.</w:t>
      </w:r>
    </w:p>
    <w:p w:rsidRPr="00F51387" w:rsidR="008422B5" w:rsidP="3290E1A5" w:rsidRDefault="008422B5" w14:paraId="21D674AD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Pr="00F51387" w:rsidR="008422B5" w:rsidP="3290E1A5" w:rsidRDefault="008422B5" w14:paraId="672A1D17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Le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stand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présentait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également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systèmes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MOBAST et S1,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tous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deux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reconnus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leurs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performances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dans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programmes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nationaux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internationaux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. Des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configurations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d’engins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anti-émeute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des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balistiques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dures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souples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des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casques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des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boucliers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présentés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sur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un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dédié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donner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au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public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une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vue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d’ensemble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claire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gamme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Mehler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 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.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Dans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domaine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Plateforme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châssis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fenêtres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balistiques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3D, le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boîtier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capteur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Protec3D et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boucliers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tactiques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mis en évidence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capacités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marque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en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matière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plateformes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soulignant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expertise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dans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solutions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multi-menaces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multi-applications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.</w:t>
      </w:r>
    </w:p>
    <w:p w:rsidRPr="00F51387" w:rsidR="008422B5" w:rsidP="3290E1A5" w:rsidRDefault="008422B5" w14:paraId="277E77F4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Pr="00F51387" w:rsidR="008422B5" w:rsidP="3290E1A5" w:rsidRDefault="008422B5" w14:paraId="55AAF629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Lindnerhof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a mis en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lumière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expertise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en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matière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transport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charges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modulaire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d’équipements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tactiques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conçus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l’efficacité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préparation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aux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missions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.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présentation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comprenait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système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transport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charges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lourdes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conçu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exigences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opérationnelles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élevées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ainsi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qu’un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vaste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choix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porte-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plaques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sangles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dispositifs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descente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en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rappel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.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Une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large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gamme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pochettes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témoigne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l’importance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accordée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par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marque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à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modularité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à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l’intégration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ergonomique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à la grande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durabilité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dans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environnements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opérationnels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variés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.</w:t>
      </w:r>
    </w:p>
    <w:p w:rsidRPr="00F51387" w:rsidR="008422B5" w:rsidP="3290E1A5" w:rsidRDefault="008422B5" w14:paraId="7635480F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Pr="00F51387" w:rsidR="008422B5" w:rsidP="3290E1A5" w:rsidRDefault="008422B5" w14:paraId="1AB277EF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UF PRO 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présenté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sa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toute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dernière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génération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vêtements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tactiques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dont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dernières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sorties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automnales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 : le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pantalon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tactique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tout-terrain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P-40 Gen.3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une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mobilité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une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durabilité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élevées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la veste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Hunter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 FZ Gen.3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conçue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performance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en période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transition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et la veste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tactique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d’hiver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Delta ML Gen.3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conçue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l’isolation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gestion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l’humidité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en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cas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froid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extrême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.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visiteuses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visiteurs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ont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également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pu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découvrir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gamme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complète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vêtements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combat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et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protection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contre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intempéries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dont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séries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Striker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 XT Gen.3 et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Striker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 TT,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vêtements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pluie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Monsoon XT Gen.2 et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gamme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hiver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Delta OL 4.0.</w:t>
      </w:r>
    </w:p>
    <w:p w:rsidRPr="00F51387" w:rsidR="008422B5" w:rsidP="3290E1A5" w:rsidRDefault="008422B5" w14:paraId="0DBD093C" w14:textId="77777777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14:ligatures w14:val="none"/>
        </w:rPr>
      </w:pPr>
    </w:p>
    <w:p w:rsidRPr="00F51387" w:rsidR="008422B5" w:rsidP="3290E1A5" w:rsidRDefault="008422B5" w14:paraId="4BAFDB06" w14:textId="751A51B2" w14:noSpellErr="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kern w:val="0"/>
          <w:sz w:val="22"/>
          <w:szCs w:val="22"/>
          <w:lang w:val="sl-SI"/>
          <w14:ligatures w14:val="none"/>
        </w:rPr>
      </w:pP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Alors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que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Milipol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 Paris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marque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dernière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présence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du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groupe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sur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un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salon en 2025, les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préparatifs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sont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déjà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en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cours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saison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 2026.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Pour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plus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d’informations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sur la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présence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de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Mehler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 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Systems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l’année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prochaine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, 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>cliquez</w:t>
      </w:r>
      <w:r w:rsidRPr="3290E1A5" w:rsidR="008422B5">
        <w:rPr>
          <w:rFonts w:ascii="Arial" w:hAnsi="Arial" w:eastAsia="Arial" w:cs="Arial"/>
          <w:sz w:val="22"/>
          <w:szCs w:val="22"/>
          <w:lang w:val="sl-SI"/>
        </w:rPr>
        <w:t xml:space="preserve"> ici : </w:t>
      </w:r>
      <w:hyperlink r:id="Rc21f5cb3c1514d63">
        <w:r w:rsidRPr="3290E1A5" w:rsidR="008422B5">
          <w:rPr>
            <w:rFonts w:ascii="Arial" w:hAnsi="Arial" w:eastAsia="Arial" w:cs="Arial"/>
            <w:color w:val="0000FF"/>
            <w:sz w:val="22"/>
            <w:szCs w:val="22"/>
            <w:u w:val="single"/>
            <w:lang w:val="sl-SI"/>
          </w:rPr>
          <w:t>https://mehler-systems.com/evenements/</w:t>
        </w:r>
      </w:hyperlink>
    </w:p>
    <w:p w:rsidR="00F51387" w:rsidP="3290E1A5" w:rsidRDefault="00F51387" w14:paraId="376DAB51" w14:noSpellErr="1" w14:textId="179C7A94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7E86BE99" w14:textId="4B6F1813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4177A1DB" w14:textId="1F274992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1F2B4236" w14:textId="461A0B5B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7EE82905" w14:textId="750A44DB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13C76413" w14:textId="1EAB8003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7939CD8D" w14:textId="44B5F37C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3F680FE1" w14:textId="31096FB3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041AD0A5" w14:textId="5F0581EB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40685C3A" w14:textId="0FF0B69C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7D8271A7" w14:textId="5457C94E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6D47A4BD" w14:textId="5E0BF33E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25ED5EFB" w14:textId="04184EEC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642444AF" w14:textId="455E1A78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290E1A5" w:rsidP="3290E1A5" w:rsidRDefault="3290E1A5" w14:paraId="43A67514" w14:textId="6BB69043">
      <w:pPr>
        <w:pStyle w:val="NormalWeb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00F51387" w:rsidP="3290E1A5" w:rsidRDefault="00F51387" w14:paraId="37362F5B" w14:textId="77777777" w14:noSpellErr="1">
      <w:pPr>
        <w:pStyle w:val="NormalWeb"/>
        <w:spacing w:before="0" w:beforeAutospacing="off" w:after="0" w:afterAutospacing="off" w:line="360" w:lineRule="auto"/>
        <w:jc w:val="both"/>
        <w:rPr>
          <w:rStyle w:val="Strong"/>
          <w:rFonts w:ascii="Arial" w:hAnsi="Arial" w:eastAsia="Arial" w:cs="Arial"/>
          <w:i w:val="1"/>
          <w:iCs w:val="1"/>
          <w:sz w:val="22"/>
          <w:szCs w:val="22"/>
        </w:rPr>
      </w:pPr>
    </w:p>
    <w:p w:rsidR="00F51387" w:rsidP="3290E1A5" w:rsidRDefault="00F51387" w14:paraId="5E974C88" w14:textId="34A3315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3290E1A5" w:rsidR="73A77FE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À </w:t>
      </w:r>
      <w:r w:rsidRPr="3290E1A5" w:rsidR="73A77FE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propos</w:t>
      </w:r>
      <w:r w:rsidRPr="3290E1A5" w:rsidR="73A77FE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290E1A5" w:rsidR="73A77FE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Mehler</w:t>
      </w:r>
      <w:r w:rsidRPr="3290E1A5" w:rsidR="73A77FE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Systems</w:t>
      </w:r>
      <w:r w:rsidRPr="3290E1A5" w:rsidR="73A77FE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:</w:t>
      </w:r>
    </w:p>
    <w:p w:rsidR="00F51387" w:rsidP="3290E1A5" w:rsidRDefault="00F51387" w14:paraId="33FC5EE0" w14:textId="5C8FFB1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est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leader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international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mondial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se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consacre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la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production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balistiques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exceptionnelles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d’équipements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l’ordre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les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armées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les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spéciales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00F51387" w:rsidP="3290E1A5" w:rsidRDefault="00F51387" w14:paraId="38AF66AB" w14:textId="5948518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0F51387" w:rsidP="3290E1A5" w:rsidRDefault="00F51387" w14:paraId="08D57AB7" w14:textId="0A0059D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Le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inclut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marques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UF PRO.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s’est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fait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renommée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blindée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individuelle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plateforme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est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entreprise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spécialisée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systèmes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gamme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tandis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se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distingue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par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transport et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équipements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innovants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00F51387" w:rsidP="3290E1A5" w:rsidRDefault="00F51387" w14:paraId="5AAE3C6D" w14:textId="3B82833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0F51387" w:rsidP="3290E1A5" w:rsidRDefault="00F51387" w14:paraId="3611A627" w14:textId="725C68D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Avec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présence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de 40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pays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a su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s’imposer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comme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leader,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reconnu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son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innovation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son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engagement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mettre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barre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toujours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son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secteur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au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cours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quatre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dernières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décennies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d’informations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sur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veuillez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consulter</w:t>
      </w:r>
      <w:r w:rsidRPr="3290E1A5" w:rsidR="73A77FE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hyperlink r:id="R530d0884f3114d50">
        <w:r w:rsidRPr="3290E1A5" w:rsidR="73A77FE8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mehler-systems.com</w:t>
        </w:r>
      </w:hyperlink>
    </w:p>
    <w:p w:rsidR="00F51387" w:rsidP="3290E1A5" w:rsidRDefault="00F51387" w14:paraId="4E4749F9" w14:textId="6C1E662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0F51387" w:rsidP="3290E1A5" w:rsidRDefault="00F51387" w14:paraId="650B6A7E" w14:textId="48B19F7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3290E1A5" w:rsidR="73A77FE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Contact</w:t>
      </w:r>
      <w:r w:rsidRPr="3290E1A5" w:rsidR="73A77FE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 xml:space="preserve"> </w:t>
      </w:r>
      <w:r w:rsidRPr="3290E1A5" w:rsidR="73A77FE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médias</w:t>
      </w:r>
      <w:r w:rsidRPr="3290E1A5" w:rsidR="73A77FE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 xml:space="preserve"> :</w:t>
      </w:r>
    </w:p>
    <w:p w:rsidR="00F51387" w:rsidP="3290E1A5" w:rsidRDefault="00F51387" w14:paraId="0E2F516E" w14:textId="029FEA5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290E1A5" w:rsidR="73A77FE8">
        <w:rPr>
          <w:rFonts w:ascii="Arial" w:hAnsi="Arial" w:eastAsia="Arial" w:cs="Arial"/>
          <w:noProof w:val="0"/>
          <w:sz w:val="22"/>
          <w:szCs w:val="22"/>
          <w:lang w:val="en-US"/>
        </w:rPr>
        <w:t>Marina Brankovič</w:t>
      </w:r>
    </w:p>
    <w:p w:rsidR="00F51387" w:rsidP="3290E1A5" w:rsidRDefault="00F51387" w14:paraId="27F5D0DB" w14:textId="68A9482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3290E1A5" w:rsidR="73A77FE8">
        <w:rPr>
          <w:rFonts w:ascii="Arial" w:hAnsi="Arial" w:eastAsia="Arial" w:cs="Arial"/>
          <w:noProof w:val="0"/>
          <w:sz w:val="22"/>
          <w:szCs w:val="22"/>
          <w:lang w:val="sl-SI"/>
        </w:rPr>
        <w:t>Content</w:t>
      </w:r>
      <w:r w:rsidRPr="3290E1A5" w:rsidR="73A77FE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Manager</w:t>
      </w:r>
    </w:p>
    <w:p w:rsidR="00F51387" w:rsidP="3290E1A5" w:rsidRDefault="00F51387" w14:paraId="07824C4C" w14:textId="76627CD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523eaa9c6e3d448d">
        <w:r w:rsidRPr="3290E1A5" w:rsidR="73A77FE8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US"/>
          </w:rPr>
          <w:t>marina.brankovic@ufpro.si</w:t>
        </w:r>
      </w:hyperlink>
    </w:p>
    <w:p w:rsidR="00F51387" w:rsidP="3290E1A5" w:rsidRDefault="00F51387" w14:paraId="49E50539" w14:textId="32912DBA">
      <w:pPr>
        <w:pStyle w:val="NormalWeb"/>
        <w:spacing w:before="0" w:beforeAutospacing="off" w:after="0" w:afterAutospacing="off" w:line="360" w:lineRule="auto"/>
        <w:jc w:val="both"/>
        <w:rPr>
          <w:rStyle w:val="Strong"/>
          <w:rFonts w:ascii="Arial" w:hAnsi="Arial" w:eastAsia="Arial" w:cs="Arial"/>
          <w:b w:val="0"/>
          <w:bCs w:val="0"/>
          <w:i w:val="1"/>
          <w:iCs w:val="1"/>
          <w:sz w:val="22"/>
          <w:szCs w:val="22"/>
        </w:rPr>
      </w:pPr>
    </w:p>
    <w:sectPr w:rsidRPr="00F51387" w:rsidR="00F51387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9D5" w:rsidP="000709D9" w:rsidRDefault="003E09D5" w14:paraId="0356D28E" w14:textId="77777777">
      <w:pPr>
        <w:spacing w:after="0" w:line="240" w:lineRule="auto"/>
      </w:pPr>
      <w:r>
        <w:separator/>
      </w:r>
    </w:p>
  </w:endnote>
  <w:endnote w:type="continuationSeparator" w:id="0">
    <w:p w:rsidR="003E09D5" w:rsidP="000709D9" w:rsidRDefault="003E09D5" w14:paraId="64F2EA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9D5" w:rsidP="000709D9" w:rsidRDefault="003E09D5" w14:paraId="5B1B3A55" w14:textId="77777777">
      <w:pPr>
        <w:spacing w:after="0" w:line="240" w:lineRule="auto"/>
      </w:pPr>
      <w:r>
        <w:separator/>
      </w:r>
    </w:p>
  </w:footnote>
  <w:footnote w:type="continuationSeparator" w:id="0">
    <w:p w:rsidR="003E09D5" w:rsidP="000709D9" w:rsidRDefault="003E09D5" w14:paraId="288B654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B5"/>
    <w:rsid w:val="000709D9"/>
    <w:rsid w:val="00270C8D"/>
    <w:rsid w:val="003E09D5"/>
    <w:rsid w:val="008422B5"/>
    <w:rsid w:val="00A57860"/>
    <w:rsid w:val="00A6182E"/>
    <w:rsid w:val="00CC2A46"/>
    <w:rsid w:val="00F51387"/>
    <w:rsid w:val="0D50A2A6"/>
    <w:rsid w:val="3290E1A5"/>
    <w:rsid w:val="73A7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E447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2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2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422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422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422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422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422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422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422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422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42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2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422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42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2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42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2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42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2B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422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22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422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09D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09D9"/>
  </w:style>
  <w:style w:type="paragraph" w:styleId="Footer">
    <w:name w:val="footer"/>
    <w:basedOn w:val="Normal"/>
    <w:link w:val="FooterChar"/>
    <w:uiPriority w:val="99"/>
    <w:unhideWhenUsed/>
    <w:rsid w:val="000709D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09D9"/>
  </w:style>
  <w:style w:type="character" w:styleId="Emphasis">
    <w:name w:val="Emphasis"/>
    <w:basedOn w:val="DefaultParagraphFont"/>
    <w:uiPriority w:val="20"/>
    <w:qFormat/>
    <w:rsid w:val="00F513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mehler-systems.com/fr/evenements/" TargetMode="External" Id="Rc21f5cb3c1514d63" /><Relationship Type="http://schemas.openxmlformats.org/officeDocument/2006/relationships/hyperlink" Target="https://mehler-systems.com/fr/" TargetMode="External" Id="R530d0884f3114d50" /><Relationship Type="http://schemas.openxmlformats.org/officeDocument/2006/relationships/hyperlink" Target="mailto:marina.brankovic@ufpro.si" TargetMode="External" Id="R523eaa9c6e3d448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Marina Brankovič</lastModifiedBy>
  <revision>2</revision>
  <dcterms:created xsi:type="dcterms:W3CDTF">2025-12-03T14:52:00.0000000Z</dcterms:created>
  <dcterms:modified xsi:type="dcterms:W3CDTF">2025-12-03T14:59:17.8029238Z</dcterms:modified>
</coreProperties>
</file>