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2EC499" wp14:paraId="394B1B5A" wp14:textId="54470276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>Mehler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>Protection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>participera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 xml:space="preserve"> à TADTE 2025 à </w:t>
      </w:r>
      <w:r w:rsidRPr="5C2EC499" w:rsidR="7FA23F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 w:eastAsia="en-US" w:bidi="ar-SA"/>
        </w:rPr>
        <w:t>Taipei</w:t>
      </w:r>
    </w:p>
    <w:p xmlns:wp14="http://schemas.microsoft.com/office/word/2010/wordml" w:rsidP="5C2EC499" wp14:paraId="3C539873" wp14:textId="19D4B97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484658FF" wp14:textId="7D8BF72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ALLEMAGNE (29.08.2025)</w:t>
      </w:r>
    </w:p>
    <w:p xmlns:wp14="http://schemas.microsoft.com/office/word/2010/wordml" w:rsidP="5C2EC499" wp14:paraId="62800617" wp14:textId="389CBD5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5BC183D7" wp14:textId="193E4D5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annonce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balistique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participera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la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Aerospace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(TADTE) 2025.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L’exposition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tiendra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 au 20 septembre au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Nangang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Center,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où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sera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présente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stands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K1216 et K1319.</w:t>
      </w:r>
    </w:p>
    <w:p xmlns:wp14="http://schemas.microsoft.com/office/word/2010/wordml" w:rsidP="5C2EC499" wp14:paraId="32C5C358" wp14:textId="38FF511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6F10F60B" wp14:textId="3C6764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Lors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l’exposition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l’ensemble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balistique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personnelle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comprenant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gilets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, des porte-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casques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boucliers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Chaque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produit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été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développé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répondre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besoins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opérationnels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diversifiés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militaires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offrant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niveaux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modulables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configurations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adaptables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différents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scénarios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mission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gilets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porte-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combinent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matériaux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légers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grande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durabilité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les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sont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conçues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offrir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fiable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contre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plusieurs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impacts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tandis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casques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boucliers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assurent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couverture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maximale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sans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compromettre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l’ergonomie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Ensemble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reflètent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l’engagement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l’entreprise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fournir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modulaires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ergonomiques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allient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balistique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efficace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mobilité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confort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l’utilisateur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C2EC499" wp14:paraId="42F52FF1" wp14:textId="0D9950F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4A935A04" wp14:textId="0717613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TADTE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l’un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principaux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salons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défense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l’aéronautique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région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Asie-Pacifique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réunissant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entreprises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internationales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représentants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secteur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décideurs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échanger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idées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présenter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nouvelles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innovations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C2EC499" wp14:paraId="0DB1C72B" wp14:textId="073F72C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22B31C8E" wp14:textId="6957940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plus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d’informations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la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participation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TADTE 2025,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veuillez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>consulter</w:t>
      </w:r>
      <w:r w:rsidRPr="5C2EC499" w:rsidR="7FA23F0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b9f1317fe7cf4084">
        <w:r w:rsidRPr="5C2EC499" w:rsidR="7FA23F0C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https://mehler-systems.com/event/tadte-2025/</w:t>
        </w:r>
      </w:hyperlink>
    </w:p>
    <w:p xmlns:wp14="http://schemas.microsoft.com/office/word/2010/wordml" w:rsidP="5C2EC499" wp14:paraId="5AF463D7" wp14:textId="39854F5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60941F37" wp14:textId="2D4ECEE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5C2EC499" wp14:paraId="3941E2FA" wp14:textId="3FAF5DE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leader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balistique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se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consacre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simple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mais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profonde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: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offrir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tranquillité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d'esprit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société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propose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complète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minutieusement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fois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individus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platesformes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opérationnelles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diverses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C2EC499" wp14:paraId="6558875B" wp14:textId="32B1843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34756395" wp14:textId="7EAAAC5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Répondant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l'ordre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militaires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les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soigneusement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garantir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résilience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fiabilité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même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plus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exigeants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L'équipe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d'experts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dévoués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soutenue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par des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années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d'expérience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fière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concevoir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représentent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summum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la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C2EC499" wp14:paraId="36D4AC12" wp14:textId="38E7760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C2EC499" wp14:paraId="0372E8FE" wp14:textId="78FF507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</w:t>
      </w:r>
      <w:r w:rsidRPr="5C2EC499" w:rsidR="7FA23F0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5C2EC499" wp14:paraId="4C77F18A" wp14:textId="1F2E0AB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Philipp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Somogyi</w:t>
      </w:r>
    </w:p>
    <w:p xmlns:wp14="http://schemas.microsoft.com/office/word/2010/wordml" w:rsidP="5C2EC499" wp14:paraId="50D17A3F" wp14:textId="29903BC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Responsable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C2EC499" w:rsidR="7FA23F0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contenu</w:t>
      </w:r>
    </w:p>
    <w:p xmlns:wp14="http://schemas.microsoft.com/office/word/2010/wordml" w:rsidP="5C2EC499" wp14:paraId="18013CCC" wp14:textId="1BE787A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eb8fd2c2adc041e3">
        <w:r w:rsidRPr="5C2EC499" w:rsidR="7FA23F0C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philipp.somogyi@mehler-systems.com</w:t>
        </w:r>
      </w:hyperlink>
    </w:p>
    <w:p xmlns:wp14="http://schemas.microsoft.com/office/word/2010/wordml" w:rsidP="5C2EC499" wp14:paraId="44EE8D64" wp14:textId="5F1FD5C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DB98D"/>
    <w:rsid w:val="14F828FF"/>
    <w:rsid w:val="2CEBB7CD"/>
    <w:rsid w:val="5C2EC499"/>
    <w:rsid w:val="734DB98D"/>
    <w:rsid w:val="7FA2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B98D"/>
  <w15:chartTrackingRefBased/>
  <w15:docId w15:val="{22A7E87D-7315-484B-8F12-F27815883E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360" w:after="8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event/tadte-2025/" TargetMode="External" Id="Rb9f1317fe7cf4084" /><Relationship Type="http://schemas.openxmlformats.org/officeDocument/2006/relationships/hyperlink" Target="mailto:philipp.somogyi@mehler-systems.com" TargetMode="External" Id="Reb8fd2c2adc041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2025-08-29T09:33:13.3687096Z</dcterms:created>
  <dcterms:modified xsi:type="dcterms:W3CDTF">2025-08-29T09:37:18.2143042Z</dcterms:modified>
  <dc:creator>Marina Brankovič</dc:creator>
  <lastModifiedBy>Marina Brankovič</lastModifiedBy>
</coreProperties>
</file>